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F0AF9" w14:textId="77777777" w:rsidR="00142765" w:rsidRDefault="00142765" w:rsidP="0014276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</w:t>
      </w:r>
      <w:r w:rsidRPr="005B2634">
        <w:rPr>
          <w:sz w:val="28"/>
          <w:szCs w:val="28"/>
          <w:u w:val="single"/>
        </w:rPr>
        <w:t>age  232</w:t>
      </w:r>
    </w:p>
    <w:p w14:paraId="6404EE76" w14:textId="77777777" w:rsidR="00142765" w:rsidRDefault="00142765" w:rsidP="00142765">
      <w:pPr>
        <w:rPr>
          <w:sz w:val="28"/>
          <w:szCs w:val="28"/>
          <w:u w:val="single"/>
        </w:rPr>
      </w:pPr>
    </w:p>
    <w:p w14:paraId="2C3D164F" w14:textId="77777777" w:rsidR="00142765" w:rsidRDefault="00142765" w:rsidP="00142765">
      <w:pPr>
        <w:rPr>
          <w:color w:val="FF0000"/>
          <w:sz w:val="28"/>
          <w:szCs w:val="28"/>
        </w:rPr>
      </w:pPr>
      <w:r w:rsidRPr="005B2634">
        <w:rPr>
          <w:sz w:val="28"/>
          <w:szCs w:val="28"/>
        </w:rPr>
        <w:t xml:space="preserve">Ligne </w:t>
      </w:r>
      <w:r>
        <w:rPr>
          <w:sz w:val="28"/>
          <w:szCs w:val="28"/>
        </w:rPr>
        <w:t>11</w:t>
      </w:r>
      <w:r>
        <w:rPr>
          <w:sz w:val="28"/>
          <w:szCs w:val="28"/>
        </w:rPr>
        <w:tab/>
        <w:t xml:space="preserve">concentration externe </w:t>
      </w:r>
      <w:r w:rsidRPr="005B2634">
        <w:rPr>
          <w:color w:val="FF0000"/>
          <w:sz w:val="28"/>
          <w:szCs w:val="28"/>
        </w:rPr>
        <w:t>(et non interne)</w:t>
      </w:r>
      <w:r>
        <w:rPr>
          <w:color w:val="FF0000"/>
          <w:sz w:val="28"/>
          <w:szCs w:val="28"/>
        </w:rPr>
        <w:t xml:space="preserve"> </w:t>
      </w:r>
      <w:r w:rsidRPr="005B2634">
        <w:rPr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proofErr w:type="spellStart"/>
      <w:r>
        <w:rPr>
          <w:sz w:val="28"/>
          <w:szCs w:val="28"/>
        </w:rPr>
        <w:t>Na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  <w:vertAlign w:val="subscript"/>
        </w:rPr>
        <w:t>e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color w:val="FF0000"/>
          <w:sz w:val="28"/>
          <w:szCs w:val="28"/>
          <w:vertAlign w:val="subscript"/>
        </w:rPr>
        <w:t xml:space="preserve"> </w:t>
      </w:r>
      <w:r>
        <w:rPr>
          <w:color w:val="FF0000"/>
          <w:sz w:val="28"/>
          <w:szCs w:val="28"/>
        </w:rPr>
        <w:t xml:space="preserve">(et non </w:t>
      </w:r>
      <w:proofErr w:type="spellStart"/>
      <w:r>
        <w:rPr>
          <w:color w:val="FF0000"/>
          <w:sz w:val="28"/>
          <w:szCs w:val="28"/>
        </w:rPr>
        <w:t>Na</w:t>
      </w:r>
      <w:r>
        <w:rPr>
          <w:color w:val="FF0000"/>
          <w:sz w:val="28"/>
          <w:szCs w:val="28"/>
          <w:vertAlign w:val="superscript"/>
        </w:rPr>
        <w:t>+</w:t>
      </w:r>
      <w:r>
        <w:rPr>
          <w:color w:val="FF0000"/>
          <w:sz w:val="28"/>
          <w:szCs w:val="28"/>
          <w:vertAlign w:val="subscript"/>
        </w:rPr>
        <w:t>i</w:t>
      </w:r>
      <w:proofErr w:type="spellEnd"/>
      <w:r>
        <w:rPr>
          <w:color w:val="FF0000"/>
          <w:sz w:val="28"/>
          <w:szCs w:val="28"/>
        </w:rPr>
        <w:t>)</w:t>
      </w:r>
    </w:p>
    <w:p w14:paraId="3E8DAEB0" w14:textId="77777777" w:rsidR="00142765" w:rsidRDefault="00142765" w:rsidP="00142765">
      <w:pPr>
        <w:rPr>
          <w:color w:val="FF0000"/>
          <w:sz w:val="28"/>
          <w:szCs w:val="28"/>
        </w:rPr>
      </w:pPr>
    </w:p>
    <w:p w14:paraId="5C73758B" w14:textId="77777777" w:rsidR="00142765" w:rsidRDefault="00142765" w:rsidP="00142765">
      <w:pPr>
        <w:rPr>
          <w:color w:val="FF0000"/>
          <w:sz w:val="28"/>
          <w:szCs w:val="28"/>
        </w:rPr>
      </w:pPr>
      <w:r w:rsidRPr="005B2634">
        <w:rPr>
          <w:sz w:val="28"/>
          <w:szCs w:val="28"/>
        </w:rPr>
        <w:t>Ligne 12</w:t>
      </w:r>
      <w:r>
        <w:rPr>
          <w:sz w:val="28"/>
          <w:szCs w:val="28"/>
        </w:rPr>
        <w:tab/>
        <w:t xml:space="preserve">interne </w:t>
      </w:r>
      <w:r w:rsidRPr="009F2758">
        <w:rPr>
          <w:color w:val="FF0000"/>
          <w:sz w:val="28"/>
          <w:szCs w:val="28"/>
        </w:rPr>
        <w:t>(et non externe)</w:t>
      </w:r>
      <w:r>
        <w:rPr>
          <w:sz w:val="28"/>
          <w:szCs w:val="28"/>
        </w:rPr>
        <w:t xml:space="preserve"> de (</w:t>
      </w:r>
      <w:proofErr w:type="spellStart"/>
      <w:r>
        <w:rPr>
          <w:sz w:val="28"/>
          <w:szCs w:val="28"/>
        </w:rPr>
        <w:t>Na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  <w:vertAlign w:val="subscript"/>
        </w:rPr>
        <w:t>i</w:t>
      </w:r>
      <w:proofErr w:type="spellEnd"/>
      <w:r>
        <w:rPr>
          <w:sz w:val="28"/>
          <w:szCs w:val="28"/>
        </w:rPr>
        <w:t xml:space="preserve">) </w:t>
      </w:r>
      <w:r w:rsidRPr="009F2758">
        <w:rPr>
          <w:color w:val="FF0000"/>
          <w:sz w:val="28"/>
          <w:szCs w:val="28"/>
        </w:rPr>
        <w:t xml:space="preserve">(et non </w:t>
      </w:r>
      <w:proofErr w:type="spellStart"/>
      <w:r w:rsidRPr="009F2758">
        <w:rPr>
          <w:color w:val="FF0000"/>
          <w:sz w:val="28"/>
          <w:szCs w:val="28"/>
        </w:rPr>
        <w:t>Na</w:t>
      </w:r>
      <w:r w:rsidRPr="009F2758">
        <w:rPr>
          <w:color w:val="FF0000"/>
          <w:sz w:val="28"/>
          <w:szCs w:val="28"/>
          <w:vertAlign w:val="superscript"/>
        </w:rPr>
        <w:t>+</w:t>
      </w:r>
      <w:r w:rsidRPr="009F2758">
        <w:rPr>
          <w:color w:val="FF0000"/>
          <w:sz w:val="28"/>
          <w:szCs w:val="28"/>
          <w:vertAlign w:val="subscript"/>
        </w:rPr>
        <w:t>e</w:t>
      </w:r>
      <w:proofErr w:type="spellEnd"/>
      <w:r w:rsidRPr="009F2758">
        <w:rPr>
          <w:color w:val="FF0000"/>
          <w:sz w:val="28"/>
          <w:szCs w:val="28"/>
        </w:rPr>
        <w:t>)</w:t>
      </w:r>
    </w:p>
    <w:p w14:paraId="54714D01" w14:textId="77777777" w:rsidR="00142765" w:rsidRDefault="00142765" w:rsidP="00142765">
      <w:pPr>
        <w:rPr>
          <w:color w:val="FF0000"/>
          <w:sz w:val="28"/>
          <w:szCs w:val="28"/>
        </w:rPr>
      </w:pPr>
    </w:p>
    <w:p w14:paraId="19A414B4" w14:textId="77777777" w:rsidR="00142765" w:rsidRDefault="00142765" w:rsidP="00142765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proofErr w:type="gramStart"/>
      <w:r w:rsidRPr="009F2758">
        <w:rPr>
          <w:sz w:val="28"/>
          <w:szCs w:val="28"/>
        </w:rPr>
        <w:t>exportation</w:t>
      </w:r>
      <w:proofErr w:type="gramEnd"/>
      <w:r w:rsidRPr="009F2758"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et non importation </w:t>
      </w:r>
    </w:p>
    <w:p w14:paraId="46BB021A" w14:textId="77777777" w:rsidR="00142765" w:rsidRDefault="00142765" w:rsidP="00142765">
      <w:pPr>
        <w:rPr>
          <w:color w:val="FF0000"/>
          <w:sz w:val="28"/>
          <w:szCs w:val="28"/>
        </w:rPr>
      </w:pPr>
    </w:p>
    <w:p w14:paraId="0F4C6894" w14:textId="77777777" w:rsidR="00142765" w:rsidRDefault="00142765" w:rsidP="00142765">
      <w:pPr>
        <w:rPr>
          <w:color w:val="FF0000"/>
          <w:sz w:val="28"/>
          <w:szCs w:val="28"/>
        </w:rPr>
      </w:pPr>
      <w:r w:rsidRPr="009F2758">
        <w:rPr>
          <w:sz w:val="28"/>
          <w:szCs w:val="28"/>
        </w:rPr>
        <w:t>Ligne 13</w:t>
      </w:r>
      <w:r>
        <w:rPr>
          <w:sz w:val="28"/>
          <w:szCs w:val="28"/>
        </w:rPr>
        <w:tab/>
        <w:t xml:space="preserve">teneur interne </w:t>
      </w:r>
      <w:r w:rsidRPr="009F2758">
        <w:rPr>
          <w:color w:val="FF0000"/>
          <w:sz w:val="28"/>
          <w:szCs w:val="28"/>
        </w:rPr>
        <w:t>et non externe</w:t>
      </w:r>
      <w:r>
        <w:rPr>
          <w:sz w:val="28"/>
          <w:szCs w:val="28"/>
        </w:rPr>
        <w:t xml:space="preserve"> de (</w:t>
      </w:r>
      <w:proofErr w:type="spellStart"/>
      <w:r>
        <w:rPr>
          <w:sz w:val="28"/>
          <w:szCs w:val="28"/>
        </w:rPr>
        <w:t>K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  <w:vertAlign w:val="subscript"/>
        </w:rPr>
        <w:t>i</w:t>
      </w:r>
      <w:proofErr w:type="spellEnd"/>
      <w:r>
        <w:rPr>
          <w:sz w:val="28"/>
          <w:szCs w:val="28"/>
        </w:rPr>
        <w:t xml:space="preserve">) </w:t>
      </w:r>
      <w:r w:rsidRPr="009F2758">
        <w:rPr>
          <w:color w:val="FF0000"/>
          <w:sz w:val="28"/>
          <w:szCs w:val="28"/>
        </w:rPr>
        <w:t xml:space="preserve">(et non </w:t>
      </w:r>
      <w:proofErr w:type="spellStart"/>
      <w:r w:rsidRPr="009F2758">
        <w:rPr>
          <w:color w:val="FF0000"/>
          <w:sz w:val="28"/>
          <w:szCs w:val="28"/>
        </w:rPr>
        <w:t>K</w:t>
      </w:r>
      <w:r w:rsidRPr="009F2758">
        <w:rPr>
          <w:color w:val="FF0000"/>
          <w:sz w:val="28"/>
          <w:szCs w:val="28"/>
          <w:vertAlign w:val="superscript"/>
        </w:rPr>
        <w:t>+</w:t>
      </w:r>
      <w:r>
        <w:rPr>
          <w:color w:val="FF0000"/>
          <w:sz w:val="28"/>
          <w:szCs w:val="28"/>
          <w:vertAlign w:val="subscript"/>
        </w:rPr>
        <w:t>e</w:t>
      </w:r>
      <w:proofErr w:type="spellEnd"/>
      <w:r w:rsidRPr="009F2758">
        <w:rPr>
          <w:color w:val="FF0000"/>
          <w:sz w:val="28"/>
          <w:szCs w:val="28"/>
        </w:rPr>
        <w:t>)</w:t>
      </w:r>
    </w:p>
    <w:p w14:paraId="0154B409" w14:textId="77777777" w:rsidR="00142765" w:rsidRDefault="00142765" w:rsidP="00142765">
      <w:pPr>
        <w:rPr>
          <w:color w:val="FF0000"/>
          <w:sz w:val="28"/>
          <w:szCs w:val="28"/>
        </w:rPr>
      </w:pPr>
    </w:p>
    <w:p w14:paraId="298B6E93" w14:textId="77777777" w:rsidR="00142765" w:rsidRDefault="00142765" w:rsidP="00142765">
      <w:pPr>
        <w:rPr>
          <w:color w:val="FF0000"/>
          <w:sz w:val="28"/>
          <w:szCs w:val="28"/>
        </w:rPr>
      </w:pPr>
      <w:r>
        <w:rPr>
          <w:sz w:val="28"/>
          <w:szCs w:val="28"/>
        </w:rPr>
        <w:t>Lignes</w:t>
      </w:r>
      <w:r w:rsidRPr="009F2758">
        <w:rPr>
          <w:sz w:val="28"/>
          <w:szCs w:val="28"/>
        </w:rPr>
        <w:t>14</w:t>
      </w:r>
      <w:r>
        <w:rPr>
          <w:sz w:val="28"/>
          <w:szCs w:val="28"/>
        </w:rPr>
        <w:t xml:space="preserve"> et 15</w:t>
      </w:r>
      <w:r>
        <w:rPr>
          <w:color w:val="FF0000"/>
          <w:sz w:val="28"/>
          <w:szCs w:val="28"/>
        </w:rPr>
        <w:tab/>
      </w:r>
      <w:r w:rsidRPr="009F2758">
        <w:rPr>
          <w:sz w:val="28"/>
          <w:szCs w:val="28"/>
        </w:rPr>
        <w:t>externe</w:t>
      </w:r>
      <w:r>
        <w:rPr>
          <w:color w:val="FF0000"/>
          <w:sz w:val="28"/>
          <w:szCs w:val="28"/>
        </w:rPr>
        <w:t xml:space="preserve"> et non interne de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K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  <w:vertAlign w:val="subscript"/>
        </w:rPr>
        <w:t>e</w:t>
      </w:r>
      <w:proofErr w:type="spellEnd"/>
      <w:r>
        <w:rPr>
          <w:sz w:val="28"/>
          <w:szCs w:val="28"/>
        </w:rPr>
        <w:t xml:space="preserve">) </w:t>
      </w:r>
      <w:r w:rsidRPr="009F2758">
        <w:rPr>
          <w:color w:val="FF0000"/>
          <w:sz w:val="28"/>
          <w:szCs w:val="28"/>
        </w:rPr>
        <w:t xml:space="preserve">(et non </w:t>
      </w:r>
      <w:proofErr w:type="spellStart"/>
      <w:r w:rsidRPr="009F2758">
        <w:rPr>
          <w:color w:val="FF0000"/>
          <w:sz w:val="28"/>
          <w:szCs w:val="28"/>
        </w:rPr>
        <w:t>K</w:t>
      </w:r>
      <w:r w:rsidRPr="009F2758">
        <w:rPr>
          <w:color w:val="FF0000"/>
          <w:sz w:val="28"/>
          <w:szCs w:val="28"/>
          <w:vertAlign w:val="superscript"/>
        </w:rPr>
        <w:t>+</w:t>
      </w:r>
      <w:r>
        <w:rPr>
          <w:color w:val="FF0000"/>
          <w:sz w:val="28"/>
          <w:szCs w:val="28"/>
          <w:vertAlign w:val="subscript"/>
        </w:rPr>
        <w:t>i</w:t>
      </w:r>
      <w:proofErr w:type="spellEnd"/>
      <w:r w:rsidRPr="009F2758">
        <w:rPr>
          <w:color w:val="FF0000"/>
          <w:sz w:val="28"/>
          <w:szCs w:val="28"/>
        </w:rPr>
        <w:t>)</w:t>
      </w:r>
    </w:p>
    <w:p w14:paraId="651DC4CF" w14:textId="77777777" w:rsidR="00142765" w:rsidRDefault="00142765" w:rsidP="00142765">
      <w:pPr>
        <w:rPr>
          <w:color w:val="FF0000"/>
          <w:sz w:val="28"/>
          <w:szCs w:val="28"/>
        </w:rPr>
      </w:pPr>
    </w:p>
    <w:p w14:paraId="42142283" w14:textId="77777777" w:rsidR="00142765" w:rsidRDefault="00142765" w:rsidP="00142765">
      <w:pPr>
        <w:rPr>
          <w:color w:val="FF0000"/>
          <w:sz w:val="28"/>
          <w:szCs w:val="28"/>
        </w:rPr>
      </w:pPr>
      <w:r w:rsidRPr="009F2758">
        <w:rPr>
          <w:sz w:val="28"/>
          <w:szCs w:val="28"/>
        </w:rPr>
        <w:t>Ligne 15</w:t>
      </w:r>
      <w:r w:rsidRPr="009F2758">
        <w:rPr>
          <w:sz w:val="28"/>
          <w:szCs w:val="28"/>
        </w:rPr>
        <w:tab/>
        <w:t>importation</w:t>
      </w:r>
      <w:r>
        <w:rPr>
          <w:color w:val="FF0000"/>
          <w:sz w:val="28"/>
          <w:szCs w:val="28"/>
        </w:rPr>
        <w:t xml:space="preserve"> et non exportation</w:t>
      </w:r>
    </w:p>
    <w:p w14:paraId="197CCD90" w14:textId="77777777" w:rsidR="00142765" w:rsidRDefault="00142765" w:rsidP="00142765">
      <w:pPr>
        <w:rPr>
          <w:color w:val="FF0000"/>
          <w:sz w:val="28"/>
          <w:szCs w:val="28"/>
        </w:rPr>
      </w:pPr>
    </w:p>
    <w:p w14:paraId="63E6DC36" w14:textId="77777777" w:rsidR="00142765" w:rsidRDefault="00142765" w:rsidP="00142765">
      <w:pPr>
        <w:rPr>
          <w:color w:val="FF0000"/>
          <w:sz w:val="28"/>
          <w:szCs w:val="28"/>
        </w:rPr>
      </w:pPr>
      <w:r w:rsidRPr="009F2758">
        <w:rPr>
          <w:sz w:val="28"/>
          <w:szCs w:val="28"/>
        </w:rPr>
        <w:t>Ligne 16</w:t>
      </w:r>
      <w:r w:rsidRPr="009F2758">
        <w:rPr>
          <w:sz w:val="28"/>
          <w:szCs w:val="28"/>
        </w:rPr>
        <w:tab/>
        <w:t>exportation</w:t>
      </w:r>
      <w:r>
        <w:rPr>
          <w:color w:val="FF0000"/>
          <w:sz w:val="28"/>
          <w:szCs w:val="28"/>
        </w:rPr>
        <w:t xml:space="preserve"> et non importation</w:t>
      </w:r>
    </w:p>
    <w:p w14:paraId="2A9AE7B9" w14:textId="77777777" w:rsidR="00142765" w:rsidRDefault="00142765" w:rsidP="00142765">
      <w:pPr>
        <w:rPr>
          <w:color w:val="FF0000"/>
          <w:sz w:val="28"/>
          <w:szCs w:val="28"/>
        </w:rPr>
      </w:pPr>
    </w:p>
    <w:p w14:paraId="13B87176" w14:textId="77777777" w:rsidR="00126091" w:rsidRDefault="00142765" w:rsidP="00142765">
      <w:pPr>
        <w:rPr>
          <w:color w:val="FF0000"/>
          <w:sz w:val="28"/>
          <w:szCs w:val="28"/>
        </w:rPr>
      </w:pPr>
      <w:r w:rsidRPr="009F2758">
        <w:rPr>
          <w:sz w:val="28"/>
          <w:szCs w:val="28"/>
        </w:rPr>
        <w:t>Ligne 17</w:t>
      </w:r>
      <w:r w:rsidRPr="009F2758">
        <w:rPr>
          <w:sz w:val="28"/>
          <w:szCs w:val="28"/>
        </w:rPr>
        <w:tab/>
        <w:t>importation</w:t>
      </w:r>
      <w:r>
        <w:rPr>
          <w:color w:val="FF0000"/>
          <w:sz w:val="28"/>
          <w:szCs w:val="28"/>
        </w:rPr>
        <w:t xml:space="preserve"> et non exportation</w:t>
      </w:r>
    </w:p>
    <w:p w14:paraId="25E579C3" w14:textId="77777777" w:rsidR="00126091" w:rsidRDefault="00126091" w:rsidP="00142765">
      <w:pPr>
        <w:rPr>
          <w:color w:val="FF0000"/>
          <w:sz w:val="28"/>
          <w:szCs w:val="28"/>
        </w:rPr>
      </w:pPr>
    </w:p>
    <w:p w14:paraId="6F7CE2A9" w14:textId="77777777" w:rsidR="00126091" w:rsidRDefault="00126091" w:rsidP="00142765">
      <w:pPr>
        <w:rPr>
          <w:color w:val="FF0000"/>
          <w:sz w:val="28"/>
          <w:szCs w:val="28"/>
        </w:rPr>
      </w:pPr>
    </w:p>
    <w:p w14:paraId="25106FC6" w14:textId="77777777" w:rsidR="00126091" w:rsidRDefault="00126091" w:rsidP="00142765">
      <w:pPr>
        <w:rPr>
          <w:sz w:val="28"/>
          <w:szCs w:val="28"/>
        </w:rPr>
      </w:pPr>
      <w:r>
        <w:rPr>
          <w:sz w:val="28"/>
          <w:szCs w:val="28"/>
        </w:rPr>
        <w:t>En fait, le paragraphe devrait se lire de la façon suivante :</w:t>
      </w:r>
    </w:p>
    <w:p w14:paraId="029CB482" w14:textId="77777777" w:rsidR="00126091" w:rsidRDefault="00126091" w:rsidP="00142765">
      <w:pPr>
        <w:rPr>
          <w:sz w:val="28"/>
          <w:szCs w:val="28"/>
        </w:rPr>
      </w:pPr>
    </w:p>
    <w:p w14:paraId="50C58DD5" w14:textId="46406592" w:rsidR="007245DE" w:rsidRPr="00126091" w:rsidRDefault="00126091" w:rsidP="00126091">
      <w:pPr>
        <w:jc w:val="both"/>
        <w:rPr>
          <w:szCs w:val="28"/>
        </w:rPr>
      </w:pPr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>Cette pompe de Na</w:t>
      </w:r>
      <w:r w:rsidRPr="00126091">
        <w:rPr>
          <w:rFonts w:ascii="Times" w:eastAsiaTheme="minorHAnsi" w:hAnsi="Times" w:cs="Times"/>
          <w:color w:val="141413"/>
          <w:szCs w:val="11"/>
          <w:vertAlign w:val="superscript"/>
          <w:lang w:val="fr-FR" w:eastAsia="en-US"/>
        </w:rPr>
        <w:t>+</w:t>
      </w:r>
      <w:r w:rsidRPr="00126091">
        <w:rPr>
          <w:rFonts w:ascii="Times" w:eastAsiaTheme="minorHAnsi" w:hAnsi="Times" w:cs="Times"/>
          <w:color w:val="141413"/>
          <w:szCs w:val="11"/>
          <w:lang w:val="fr-FR" w:eastAsia="en-US"/>
        </w:rPr>
        <w:t xml:space="preserve"> </w:t>
      </w:r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>et K</w:t>
      </w:r>
      <w:r w:rsidRPr="00126091">
        <w:rPr>
          <w:rFonts w:ascii="Times" w:eastAsiaTheme="minorHAnsi" w:hAnsi="Times" w:cs="Times"/>
          <w:color w:val="141413"/>
          <w:szCs w:val="11"/>
          <w:vertAlign w:val="superscript"/>
          <w:lang w:val="fr-FR" w:eastAsia="en-US"/>
        </w:rPr>
        <w:t>+</w:t>
      </w:r>
      <w:r w:rsidRPr="00126091">
        <w:rPr>
          <w:rFonts w:ascii="Times" w:eastAsiaTheme="minorHAnsi" w:hAnsi="Times" w:cs="Times"/>
          <w:color w:val="141413"/>
          <w:szCs w:val="11"/>
          <w:lang w:val="fr-FR" w:eastAsia="en-US"/>
        </w:rPr>
        <w:t xml:space="preserve"> </w:t>
      </w:r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 xml:space="preserve">fonctionne avec une énergie métabolique fournie par l’ATP (adénosine triphosphate) qui est hydrolysée à cette fin en ADP (adénosine </w:t>
      </w:r>
      <w:proofErr w:type="spellStart"/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>diphosphate</w:t>
      </w:r>
      <w:proofErr w:type="spellEnd"/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 xml:space="preserve">) et P (phosphate), à l’aide de l’enzyme ATPase. Cette pompe entretient un déséquilibre ionique entre le cytosol intérieur de la cellule nerveuse et le plasma extérieur. En effet, elle fournit une concentration </w:t>
      </w:r>
      <w:r>
        <w:rPr>
          <w:rFonts w:ascii="Times" w:eastAsiaTheme="minorHAnsi" w:hAnsi="Times" w:cs="Times"/>
          <w:color w:val="141413"/>
          <w:szCs w:val="20"/>
          <w:lang w:val="fr-FR" w:eastAsia="en-US"/>
        </w:rPr>
        <w:t xml:space="preserve">externe </w:t>
      </w:r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>de sodium (</w:t>
      </w:r>
      <w:proofErr w:type="spellStart"/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>Na</w:t>
      </w:r>
      <w:r w:rsidRPr="00126091">
        <w:rPr>
          <w:rFonts w:ascii="Times" w:eastAsiaTheme="minorHAnsi" w:hAnsi="Times" w:cs="Times"/>
          <w:color w:val="141413"/>
          <w:szCs w:val="11"/>
          <w:vertAlign w:val="superscript"/>
          <w:lang w:val="fr-FR" w:eastAsia="en-US"/>
        </w:rPr>
        <w:t>+</w:t>
      </w:r>
      <w:r w:rsidRPr="00126091">
        <w:rPr>
          <w:rFonts w:ascii="Times" w:eastAsiaTheme="minorHAnsi" w:hAnsi="Times" w:cs="Times"/>
          <w:color w:val="141413"/>
          <w:szCs w:val="11"/>
          <w:vertAlign w:val="subscript"/>
          <w:lang w:val="fr-FR" w:eastAsia="en-US"/>
        </w:rPr>
        <w:t>e</w:t>
      </w:r>
      <w:proofErr w:type="spellEnd"/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 xml:space="preserve">) plus élevée que la concentration </w:t>
      </w:r>
      <w:r>
        <w:rPr>
          <w:rFonts w:ascii="Times" w:eastAsiaTheme="minorHAnsi" w:hAnsi="Times" w:cs="Times"/>
          <w:color w:val="141413"/>
          <w:szCs w:val="20"/>
          <w:lang w:val="fr-FR" w:eastAsia="en-US"/>
        </w:rPr>
        <w:t>in</w:t>
      </w:r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>terne (</w:t>
      </w:r>
      <w:proofErr w:type="spellStart"/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>Na</w:t>
      </w:r>
      <w:r w:rsidRPr="00126091">
        <w:rPr>
          <w:rFonts w:ascii="Times" w:eastAsiaTheme="minorHAnsi" w:hAnsi="Times" w:cs="Times"/>
          <w:color w:val="141413"/>
          <w:szCs w:val="11"/>
          <w:vertAlign w:val="superscript"/>
          <w:lang w:val="fr-FR" w:eastAsia="en-US"/>
        </w:rPr>
        <w:t>+</w:t>
      </w:r>
      <w:r>
        <w:rPr>
          <w:rFonts w:ascii="Times" w:eastAsiaTheme="minorHAnsi" w:hAnsi="Times" w:cs="Times"/>
          <w:color w:val="141413"/>
          <w:szCs w:val="11"/>
          <w:vertAlign w:val="subscript"/>
          <w:lang w:val="fr-FR" w:eastAsia="en-US"/>
        </w:rPr>
        <w:t>i</w:t>
      </w:r>
      <w:proofErr w:type="spellEnd"/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 xml:space="preserve">) à l’aide d’une </w:t>
      </w:r>
      <w:r w:rsidR="00BC1226">
        <w:rPr>
          <w:rFonts w:ascii="Times" w:eastAsiaTheme="minorHAnsi" w:hAnsi="Times" w:cs="Times"/>
          <w:color w:val="141413"/>
          <w:szCs w:val="20"/>
          <w:lang w:val="fr-FR" w:eastAsia="en-US"/>
        </w:rPr>
        <w:t>ex</w:t>
      </w:r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 xml:space="preserve">portation par transport actif. Elle entretient aussi une teneur </w:t>
      </w:r>
      <w:r>
        <w:rPr>
          <w:rFonts w:ascii="Times" w:eastAsiaTheme="minorHAnsi" w:hAnsi="Times" w:cs="Times"/>
          <w:color w:val="141413"/>
          <w:szCs w:val="20"/>
          <w:lang w:val="fr-FR" w:eastAsia="en-US"/>
        </w:rPr>
        <w:t>in</w:t>
      </w:r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>terne de potassium (</w:t>
      </w:r>
      <w:proofErr w:type="spellStart"/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>K</w:t>
      </w:r>
      <w:r w:rsidRPr="00126091">
        <w:rPr>
          <w:rFonts w:ascii="Times" w:eastAsiaTheme="minorHAnsi" w:hAnsi="Times" w:cs="Times"/>
          <w:color w:val="141413"/>
          <w:szCs w:val="11"/>
          <w:vertAlign w:val="superscript"/>
          <w:lang w:val="fr-FR" w:eastAsia="en-US"/>
        </w:rPr>
        <w:t>+</w:t>
      </w:r>
      <w:r w:rsidRPr="00126091">
        <w:rPr>
          <w:rFonts w:ascii="Times" w:eastAsiaTheme="minorHAnsi" w:hAnsi="Times" w:cs="Times"/>
          <w:color w:val="141413"/>
          <w:szCs w:val="11"/>
          <w:vertAlign w:val="subscript"/>
          <w:lang w:val="fr-FR" w:eastAsia="en-US"/>
        </w:rPr>
        <w:t>e</w:t>
      </w:r>
      <w:proofErr w:type="spellEnd"/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 xml:space="preserve">) plus haute que la teneur </w:t>
      </w:r>
      <w:r>
        <w:rPr>
          <w:rFonts w:ascii="Times" w:eastAsiaTheme="minorHAnsi" w:hAnsi="Times" w:cs="Times"/>
          <w:color w:val="141413"/>
          <w:szCs w:val="20"/>
          <w:lang w:val="fr-FR" w:eastAsia="en-US"/>
        </w:rPr>
        <w:t>ex</w:t>
      </w:r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>terne (</w:t>
      </w:r>
      <w:proofErr w:type="spellStart"/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>K</w:t>
      </w:r>
      <w:r w:rsidRPr="00126091">
        <w:rPr>
          <w:rFonts w:ascii="Times" w:eastAsiaTheme="minorHAnsi" w:hAnsi="Times" w:cs="Times"/>
          <w:color w:val="141413"/>
          <w:szCs w:val="11"/>
          <w:vertAlign w:val="superscript"/>
          <w:lang w:val="fr-FR" w:eastAsia="en-US"/>
        </w:rPr>
        <w:t>+</w:t>
      </w:r>
      <w:r w:rsidRPr="00126091">
        <w:rPr>
          <w:rFonts w:ascii="Times" w:eastAsiaTheme="minorHAnsi" w:hAnsi="Times" w:cs="Times"/>
          <w:color w:val="141413"/>
          <w:szCs w:val="11"/>
          <w:vertAlign w:val="subscript"/>
          <w:lang w:val="fr-FR" w:eastAsia="en-US"/>
        </w:rPr>
        <w:t>e</w:t>
      </w:r>
      <w:proofErr w:type="spellEnd"/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 xml:space="preserve">), à l’aide d’une </w:t>
      </w:r>
      <w:r w:rsidR="00BC1226">
        <w:rPr>
          <w:rFonts w:ascii="Times" w:eastAsiaTheme="minorHAnsi" w:hAnsi="Times" w:cs="Times"/>
          <w:color w:val="141413"/>
          <w:szCs w:val="20"/>
          <w:lang w:val="fr-FR" w:eastAsia="en-US"/>
        </w:rPr>
        <w:t>im</w:t>
      </w:r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 xml:space="preserve">portation par transport actif. Cette </w:t>
      </w:r>
      <w:r>
        <w:rPr>
          <w:rFonts w:ascii="Times" w:eastAsiaTheme="minorHAnsi" w:hAnsi="Times" w:cs="Times"/>
          <w:color w:val="141413"/>
          <w:szCs w:val="20"/>
          <w:lang w:val="fr-FR" w:eastAsia="en-US"/>
        </w:rPr>
        <w:t>ex</w:t>
      </w:r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>portation de sodium (Na</w:t>
      </w:r>
      <w:r w:rsidRPr="00126091">
        <w:rPr>
          <w:rFonts w:ascii="Times" w:eastAsiaTheme="minorHAnsi" w:hAnsi="Times" w:cs="Times"/>
          <w:color w:val="141413"/>
          <w:szCs w:val="11"/>
          <w:vertAlign w:val="superscript"/>
          <w:lang w:val="fr-FR" w:eastAsia="en-US"/>
        </w:rPr>
        <w:t>+</w:t>
      </w:r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 xml:space="preserve">) et cette </w:t>
      </w:r>
      <w:r>
        <w:rPr>
          <w:rFonts w:ascii="Times" w:eastAsiaTheme="minorHAnsi" w:hAnsi="Times" w:cs="Times"/>
          <w:color w:val="141413"/>
          <w:szCs w:val="20"/>
          <w:lang w:val="fr-FR" w:eastAsia="en-US"/>
        </w:rPr>
        <w:t>im</w:t>
      </w:r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>portation de potassium (K</w:t>
      </w:r>
      <w:r w:rsidRPr="00126091">
        <w:rPr>
          <w:rFonts w:ascii="Times" w:eastAsiaTheme="minorHAnsi" w:hAnsi="Times" w:cs="Times"/>
          <w:color w:val="141413"/>
          <w:szCs w:val="11"/>
          <w:vertAlign w:val="superscript"/>
          <w:lang w:val="fr-FR" w:eastAsia="en-US"/>
        </w:rPr>
        <w:t>+</w:t>
      </w:r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 xml:space="preserve">) contre gradient sont faites par des transporteurs membranaires de nature </w:t>
      </w:r>
      <w:proofErr w:type="spellStart"/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>phospholipoprotéiques</w:t>
      </w:r>
      <w:proofErr w:type="spellEnd"/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 xml:space="preserve"> avec l’énergie issue de l’ATP. Ces transporteurs de petite taille font facilement des allers-retours avec des ions positifs à travers la membrane cellulaire lipidique à cause leur </w:t>
      </w:r>
      <w:proofErr w:type="spellStart"/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>liposolubilité</w:t>
      </w:r>
      <w:proofErr w:type="spellEnd"/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>. Comme l’</w:t>
      </w:r>
      <w:r w:rsidR="000575AB">
        <w:rPr>
          <w:rFonts w:ascii="Times" w:eastAsiaTheme="minorHAnsi" w:hAnsi="Times" w:cs="Times"/>
          <w:color w:val="141413"/>
          <w:szCs w:val="20"/>
          <w:lang w:val="fr-FR" w:eastAsia="en-US"/>
        </w:rPr>
        <w:t>exportation</w:t>
      </w:r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 xml:space="preserve"> de </w:t>
      </w:r>
      <w:r w:rsidR="000575AB">
        <w:rPr>
          <w:rFonts w:ascii="Times" w:eastAsiaTheme="minorHAnsi" w:hAnsi="Times" w:cs="Times"/>
          <w:color w:val="141413"/>
          <w:szCs w:val="20"/>
          <w:lang w:val="fr-FR" w:eastAsia="en-US"/>
        </w:rPr>
        <w:t>Na</w:t>
      </w:r>
      <w:r w:rsidRPr="00126091">
        <w:rPr>
          <w:rFonts w:ascii="Times" w:eastAsiaTheme="minorHAnsi" w:hAnsi="Times" w:cs="Times"/>
          <w:color w:val="141413"/>
          <w:szCs w:val="11"/>
          <w:vertAlign w:val="superscript"/>
          <w:lang w:val="fr-FR" w:eastAsia="en-US"/>
        </w:rPr>
        <w:t>+</w:t>
      </w:r>
      <w:r w:rsidRPr="00126091">
        <w:rPr>
          <w:rFonts w:ascii="Times" w:eastAsiaTheme="minorHAnsi" w:hAnsi="Times" w:cs="Times"/>
          <w:color w:val="141413"/>
          <w:szCs w:val="11"/>
          <w:lang w:val="fr-FR" w:eastAsia="en-US"/>
        </w:rPr>
        <w:t xml:space="preserve"> </w:t>
      </w:r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>dépasse considérablement l’</w:t>
      </w:r>
      <w:r w:rsidR="000575AB">
        <w:rPr>
          <w:rFonts w:ascii="Times" w:eastAsiaTheme="minorHAnsi" w:hAnsi="Times" w:cs="Times"/>
          <w:color w:val="141413"/>
          <w:szCs w:val="20"/>
          <w:lang w:val="fr-FR" w:eastAsia="en-US"/>
        </w:rPr>
        <w:t>importation</w:t>
      </w:r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 xml:space="preserve"> de </w:t>
      </w:r>
      <w:r w:rsidR="000575AB">
        <w:rPr>
          <w:rFonts w:ascii="Times" w:eastAsiaTheme="minorHAnsi" w:hAnsi="Times" w:cs="Times"/>
          <w:color w:val="141413"/>
          <w:szCs w:val="20"/>
          <w:lang w:val="fr-FR" w:eastAsia="en-US"/>
        </w:rPr>
        <w:t>K</w:t>
      </w:r>
      <w:r w:rsidRPr="00126091">
        <w:rPr>
          <w:rFonts w:ascii="Times" w:eastAsiaTheme="minorHAnsi" w:hAnsi="Times" w:cs="Times"/>
          <w:color w:val="141413"/>
          <w:szCs w:val="11"/>
          <w:vertAlign w:val="superscript"/>
          <w:lang w:val="fr-FR" w:eastAsia="en-US"/>
        </w:rPr>
        <w:t>+</w:t>
      </w:r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 xml:space="preserve">, il y a plus de charges positives à la face externe de la membrane de la cellule nerveuse qu’à la face interne de cette </w:t>
      </w:r>
      <w:r w:rsidR="000575AB"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>membrane ;</w:t>
      </w:r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 xml:space="preserve"> celle-ci devient ainsi positive à sa face externe et, conséquemment, négative à sa face interne. Cette polarisation de la membrane du neurone est due à 5000 transports actifs de Na</w:t>
      </w:r>
      <w:r w:rsidRPr="00126091">
        <w:rPr>
          <w:rFonts w:ascii="Times" w:eastAsiaTheme="minorHAnsi" w:hAnsi="Times" w:cs="Times"/>
          <w:color w:val="141413"/>
          <w:szCs w:val="11"/>
          <w:vertAlign w:val="superscript"/>
          <w:lang w:val="fr-FR" w:eastAsia="en-US"/>
        </w:rPr>
        <w:t>+</w:t>
      </w:r>
      <w:r w:rsidRPr="00126091">
        <w:rPr>
          <w:rFonts w:ascii="Times" w:eastAsiaTheme="minorHAnsi" w:hAnsi="Times" w:cs="Times"/>
          <w:color w:val="141413"/>
          <w:szCs w:val="11"/>
          <w:lang w:val="fr-FR" w:eastAsia="en-US"/>
        </w:rPr>
        <w:t xml:space="preserve"> </w:t>
      </w:r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>et K</w:t>
      </w:r>
      <w:r w:rsidRPr="00126091">
        <w:rPr>
          <w:rFonts w:ascii="Times" w:eastAsiaTheme="minorHAnsi" w:hAnsi="Times" w:cs="Times"/>
          <w:color w:val="141413"/>
          <w:szCs w:val="11"/>
          <w:vertAlign w:val="superscript"/>
          <w:lang w:val="fr-FR" w:eastAsia="en-US"/>
        </w:rPr>
        <w:t xml:space="preserve">+ </w:t>
      </w:r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 xml:space="preserve">par millième de seconde (0,001/s) et induit un potentiel électrochimique de 10 à 60 </w:t>
      </w:r>
      <w:proofErr w:type="spellStart"/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>mvolts</w:t>
      </w:r>
      <w:proofErr w:type="spellEnd"/>
      <w:r w:rsidRPr="00126091">
        <w:rPr>
          <w:rFonts w:ascii="Times" w:eastAsiaTheme="minorHAnsi" w:hAnsi="Times" w:cs="Times"/>
          <w:color w:val="141413"/>
          <w:szCs w:val="20"/>
          <w:lang w:val="fr-FR" w:eastAsia="en-US"/>
        </w:rPr>
        <w:t>, selon les neurones.</w:t>
      </w:r>
    </w:p>
    <w:sectPr w:rsidR="007245DE" w:rsidRPr="00126091" w:rsidSect="000762CD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65"/>
    <w:rsid w:val="000575AB"/>
    <w:rsid w:val="00126091"/>
    <w:rsid w:val="00142765"/>
    <w:rsid w:val="008779DB"/>
    <w:rsid w:val="00BC1226"/>
    <w:rsid w:val="00EF52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AED451"/>
  <w15:docId w15:val="{8F65A507-B753-4941-9609-048FA40C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765"/>
    <w:pPr>
      <w:spacing w:after="0"/>
    </w:pPr>
    <w:rPr>
      <w:rFonts w:ascii="Times New Roman" w:eastAsia="Times New Roman" w:hAnsi="Times New Roman" w:cs="Times New Roman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308</Words>
  <Characters>1694</Characters>
  <Application>Microsoft Office Word</Application>
  <DocSecurity>0</DocSecurity>
  <Lines>14</Lines>
  <Paragraphs>3</Paragraphs>
  <ScaleCrop>false</ScaleCrop>
  <Company>Télé-université (UQAM)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Parent</dc:creator>
  <cp:keywords/>
  <cp:lastModifiedBy>Parent, Lise</cp:lastModifiedBy>
  <cp:revision>2</cp:revision>
  <dcterms:created xsi:type="dcterms:W3CDTF">2022-03-15T13:59:00Z</dcterms:created>
  <dcterms:modified xsi:type="dcterms:W3CDTF">2022-03-15T13:59:00Z</dcterms:modified>
</cp:coreProperties>
</file>