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4BB1" w14:textId="77777777" w:rsidR="00294C8C" w:rsidRPr="007E7E56" w:rsidRDefault="00294C8C" w:rsidP="00294C8C">
      <w:pPr>
        <w:rPr>
          <w:rFonts w:ascii="Times New Roman" w:hAnsi="Times New Roman" w:cs="Times New Roman"/>
          <w:sz w:val="24"/>
          <w:szCs w:val="24"/>
        </w:rPr>
      </w:pPr>
      <w:r>
        <w:rPr>
          <w:rFonts w:ascii="Times New Roman" w:hAnsi="Times New Roman" w:cs="Times New Roman"/>
          <w:b/>
          <w:bCs/>
          <w:sz w:val="24"/>
          <w:szCs w:val="24"/>
        </w:rPr>
        <w:t xml:space="preserve">Évaluation 1 : </w:t>
      </w:r>
      <w:r w:rsidRPr="00FF31E9">
        <w:rPr>
          <w:rFonts w:ascii="Times New Roman" w:hAnsi="Times New Roman" w:cs="Times New Roman"/>
          <w:sz w:val="24"/>
          <w:szCs w:val="24"/>
        </w:rPr>
        <w:t>Réalisation d’une entrevue semi-</w:t>
      </w:r>
      <w:r w:rsidRPr="007E7E56">
        <w:rPr>
          <w:rFonts w:ascii="Times New Roman" w:hAnsi="Times New Roman" w:cs="Times New Roman"/>
          <w:sz w:val="24"/>
          <w:szCs w:val="24"/>
        </w:rPr>
        <w:t>structurée (20 %)</w:t>
      </w:r>
    </w:p>
    <w:p w14:paraId="4C168E6E" w14:textId="77777777" w:rsidR="00294C8C" w:rsidRPr="007E7E56" w:rsidRDefault="00294C8C" w:rsidP="00294C8C">
      <w:pPr>
        <w:jc w:val="both"/>
        <w:rPr>
          <w:rFonts w:ascii="Times New Roman" w:hAnsi="Times New Roman" w:cs="Times New Roman"/>
          <w:sz w:val="24"/>
          <w:szCs w:val="24"/>
        </w:rPr>
      </w:pPr>
      <w:r w:rsidRPr="007E7E56">
        <w:rPr>
          <w:rFonts w:ascii="Times New Roman" w:hAnsi="Times New Roman" w:cs="Times New Roman"/>
          <w:b/>
          <w:bCs/>
          <w:sz w:val="24"/>
          <w:szCs w:val="24"/>
        </w:rPr>
        <w:t xml:space="preserve">Consigne : </w:t>
      </w:r>
      <w:r w:rsidRPr="007E7E56">
        <w:rPr>
          <w:rFonts w:ascii="Times New Roman" w:hAnsi="Times New Roman" w:cs="Times New Roman"/>
          <w:sz w:val="24"/>
          <w:szCs w:val="24"/>
        </w:rPr>
        <w:t xml:space="preserve">L’entretien semi-structuré est l’une des méthodes de cueillette de données les plus utilisées en recherche qualitative. Elle présente toutefois des défis importants au niveau technique et relationnel pour le-la </w:t>
      </w:r>
      <w:proofErr w:type="spellStart"/>
      <w:r w:rsidRPr="007E7E56">
        <w:rPr>
          <w:rFonts w:ascii="Times New Roman" w:hAnsi="Times New Roman" w:cs="Times New Roman"/>
          <w:sz w:val="24"/>
          <w:szCs w:val="24"/>
        </w:rPr>
        <w:t>chercheur-e</w:t>
      </w:r>
      <w:proofErr w:type="spellEnd"/>
      <w:r w:rsidRPr="007E7E56">
        <w:rPr>
          <w:rFonts w:ascii="Times New Roman" w:hAnsi="Times New Roman" w:cs="Times New Roman"/>
          <w:sz w:val="24"/>
          <w:szCs w:val="24"/>
        </w:rPr>
        <w:t xml:space="preserve"> qui le mène. C’est dans l’objectif de vivre de l’intérieur la position de celui ou celle qui mène un entretien de recherche qualitatif, d’être confronté aux défis qui y sont inhérent et d’améliorer vos compétences en la matière qu’a été conçue cette évaluation. </w:t>
      </w:r>
    </w:p>
    <w:p w14:paraId="1862F698" w14:textId="46F0E73D" w:rsidR="00294C8C" w:rsidRDefault="00294C8C" w:rsidP="00294C8C">
      <w:pPr>
        <w:jc w:val="both"/>
        <w:rPr>
          <w:rFonts w:ascii="Times New Roman" w:hAnsi="Times New Roman" w:cs="Times New Roman"/>
          <w:sz w:val="24"/>
          <w:szCs w:val="24"/>
        </w:rPr>
      </w:pPr>
      <w:r w:rsidRPr="007E7E56">
        <w:rPr>
          <w:rFonts w:ascii="Times New Roman" w:hAnsi="Times New Roman" w:cs="Times New Roman"/>
          <w:sz w:val="24"/>
          <w:szCs w:val="24"/>
        </w:rPr>
        <w:t xml:space="preserve">C’est ainsi que dans le cadre de cette première évaluation, nous vous invitons à réaliser une entrevue semi-structurée à l’aide d’un guide d’entrevue déjà élaboré (Annexe A). Ce dernier permet d’explorer les motifs sous-tendant le choix du ou des programmes d’étude de la personne avec laquelle vous allez vous entretenir. Il s’agit essentiellement de trouver une personne de votre entourage consentante à participer à un entretien d’une durée de 20 à 30 minutes. Votre entretien peut être réalisée en personne ou en visioconférence. Dans les deux cas, l’entrevue doit être enregistrée. Seul l’audio est nécessaire aux fins de l’évaluation. Déposez le fichier audio sur la plateforme du cours. Un petit rappel : vous êtes </w:t>
      </w:r>
      <w:proofErr w:type="gramStart"/>
      <w:r w:rsidRPr="007E7E56">
        <w:rPr>
          <w:rFonts w:ascii="Times New Roman" w:hAnsi="Times New Roman" w:cs="Times New Roman"/>
          <w:sz w:val="24"/>
          <w:szCs w:val="24"/>
        </w:rPr>
        <w:t>l’</w:t>
      </w:r>
      <w:proofErr w:type="spellStart"/>
      <w:r w:rsidRPr="007E7E56">
        <w:rPr>
          <w:rFonts w:ascii="Times New Roman" w:hAnsi="Times New Roman" w:cs="Times New Roman"/>
          <w:sz w:val="24"/>
          <w:szCs w:val="24"/>
        </w:rPr>
        <w:t>expert.e</w:t>
      </w:r>
      <w:proofErr w:type="spellEnd"/>
      <w:proofErr w:type="gramEnd"/>
      <w:r w:rsidRPr="007E7E56">
        <w:rPr>
          <w:rFonts w:ascii="Times New Roman" w:hAnsi="Times New Roman" w:cs="Times New Roman"/>
          <w:sz w:val="24"/>
          <w:szCs w:val="24"/>
        </w:rPr>
        <w:t xml:space="preserve"> du processus (entrevue) et la personne interviewée est l’exporte de son vécu (contenu de l’entrevue) ! La personne chargée d’encadrement</w:t>
      </w:r>
      <w:r>
        <w:rPr>
          <w:rFonts w:ascii="Times New Roman" w:hAnsi="Times New Roman" w:cs="Times New Roman"/>
          <w:sz w:val="24"/>
          <w:szCs w:val="24"/>
        </w:rPr>
        <w:t xml:space="preserve"> portera son jugement à la fois sur des aspects relatifs au cadre de l’entretien, et sur des aspects techniques et relationnels (voir la grille d’évaluation). Bonne entrevue !</w:t>
      </w:r>
    </w:p>
    <w:p w14:paraId="22E3DB37" w14:textId="77777777" w:rsidR="00294C8C" w:rsidRPr="009225D2" w:rsidRDefault="00294C8C" w:rsidP="00294C8C">
      <w:pPr>
        <w:jc w:val="both"/>
        <w:rPr>
          <w:rFonts w:ascii="Times New Roman" w:hAnsi="Times New Roman" w:cs="Times New Roman"/>
          <w:sz w:val="24"/>
          <w:szCs w:val="24"/>
          <w:highlight w:val="yellow"/>
        </w:rPr>
      </w:pPr>
    </w:p>
    <w:p w14:paraId="279AD686" w14:textId="77777777" w:rsidR="00294C8C" w:rsidRDefault="00294C8C" w:rsidP="00294C8C">
      <w:pPr>
        <w:rPr>
          <w:rFonts w:ascii="Times New Roman" w:hAnsi="Times New Roman" w:cs="Times New Roman"/>
          <w:b/>
          <w:bCs/>
          <w:sz w:val="24"/>
          <w:szCs w:val="24"/>
        </w:rPr>
      </w:pPr>
      <w:r>
        <w:rPr>
          <w:rFonts w:ascii="Times New Roman" w:hAnsi="Times New Roman" w:cs="Times New Roman"/>
          <w:b/>
          <w:bCs/>
          <w:sz w:val="24"/>
          <w:szCs w:val="24"/>
        </w:rPr>
        <w:t>Grille d’évaluation :</w:t>
      </w:r>
    </w:p>
    <w:tbl>
      <w:tblPr>
        <w:tblStyle w:val="Grilledutableau"/>
        <w:tblW w:w="0" w:type="auto"/>
        <w:tblLook w:val="04A0" w:firstRow="1" w:lastRow="0" w:firstColumn="1" w:lastColumn="0" w:noHBand="0" w:noVBand="1"/>
      </w:tblPr>
      <w:tblGrid>
        <w:gridCol w:w="2500"/>
        <w:gridCol w:w="1750"/>
        <w:gridCol w:w="6"/>
        <w:gridCol w:w="1709"/>
        <w:gridCol w:w="1868"/>
        <w:gridCol w:w="1544"/>
      </w:tblGrid>
      <w:tr w:rsidR="00294C8C" w:rsidRPr="008B3BC4" w14:paraId="21F67052" w14:textId="77777777" w:rsidTr="00E96B8C">
        <w:tc>
          <w:tcPr>
            <w:tcW w:w="2500" w:type="dxa"/>
            <w:shd w:val="clear" w:color="auto" w:fill="A6A6A6" w:themeFill="background1" w:themeFillShade="A6"/>
          </w:tcPr>
          <w:p w14:paraId="7A249A15"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Critères</w:t>
            </w:r>
          </w:p>
        </w:tc>
        <w:tc>
          <w:tcPr>
            <w:tcW w:w="1750" w:type="dxa"/>
            <w:shd w:val="clear" w:color="auto" w:fill="A6A6A6" w:themeFill="background1" w:themeFillShade="A6"/>
          </w:tcPr>
          <w:p w14:paraId="69381BCD"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Éléments observables</w:t>
            </w:r>
          </w:p>
        </w:tc>
        <w:tc>
          <w:tcPr>
            <w:tcW w:w="5102" w:type="dxa"/>
            <w:gridSpan w:val="4"/>
            <w:shd w:val="clear" w:color="auto" w:fill="A6A6A6" w:themeFill="background1" w:themeFillShade="A6"/>
          </w:tcPr>
          <w:p w14:paraId="288F7133"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Échelle</w:t>
            </w:r>
          </w:p>
        </w:tc>
      </w:tr>
      <w:tr w:rsidR="00294C8C" w:rsidRPr="008B3BC4" w14:paraId="06D6D9F4" w14:textId="77777777" w:rsidTr="00E96B8C">
        <w:tc>
          <w:tcPr>
            <w:tcW w:w="2500" w:type="dxa"/>
            <w:shd w:val="clear" w:color="auto" w:fill="BFBFBF" w:themeFill="background1" w:themeFillShade="BF"/>
          </w:tcPr>
          <w:p w14:paraId="063FB583" w14:textId="77777777" w:rsidR="00294C8C" w:rsidRPr="008B3BC4" w:rsidRDefault="00294C8C" w:rsidP="00E96B8C">
            <w:pPr>
              <w:jc w:val="center"/>
              <w:rPr>
                <w:rFonts w:ascii="Times New Roman" w:hAnsi="Times New Roman" w:cs="Times New Roman"/>
                <w:b/>
                <w:bCs/>
                <w:sz w:val="20"/>
                <w:szCs w:val="20"/>
              </w:rPr>
            </w:pPr>
          </w:p>
        </w:tc>
        <w:tc>
          <w:tcPr>
            <w:tcW w:w="1750" w:type="dxa"/>
            <w:shd w:val="clear" w:color="auto" w:fill="BFBFBF" w:themeFill="background1" w:themeFillShade="BF"/>
          </w:tcPr>
          <w:p w14:paraId="55230D26" w14:textId="77777777" w:rsidR="00294C8C" w:rsidRPr="008B3BC4" w:rsidRDefault="00294C8C" w:rsidP="00E96B8C">
            <w:pPr>
              <w:jc w:val="center"/>
              <w:rPr>
                <w:rFonts w:ascii="Times New Roman" w:hAnsi="Times New Roman" w:cs="Times New Roman"/>
                <w:b/>
                <w:bCs/>
                <w:sz w:val="20"/>
                <w:szCs w:val="20"/>
              </w:rPr>
            </w:pPr>
          </w:p>
        </w:tc>
        <w:tc>
          <w:tcPr>
            <w:tcW w:w="1715" w:type="dxa"/>
            <w:gridSpan w:val="2"/>
            <w:shd w:val="clear" w:color="auto" w:fill="BFBFBF" w:themeFill="background1" w:themeFillShade="BF"/>
          </w:tcPr>
          <w:p w14:paraId="3CBC4B3D"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0</w:t>
            </w:r>
          </w:p>
          <w:p w14:paraId="1E9F343C" w14:textId="77777777" w:rsidR="00294C8C" w:rsidRPr="008B3BC4" w:rsidRDefault="00294C8C" w:rsidP="00E96B8C">
            <w:pPr>
              <w:jc w:val="center"/>
              <w:rPr>
                <w:rFonts w:ascii="Times New Roman" w:hAnsi="Times New Roman" w:cs="Times New Roman"/>
                <w:b/>
                <w:bCs/>
                <w:sz w:val="20"/>
                <w:szCs w:val="20"/>
              </w:rPr>
            </w:pPr>
            <w:r>
              <w:rPr>
                <w:rFonts w:ascii="Times New Roman" w:hAnsi="Times New Roman" w:cs="Times New Roman"/>
                <w:b/>
                <w:bCs/>
                <w:sz w:val="20"/>
                <w:szCs w:val="20"/>
              </w:rPr>
              <w:t>Compétence non acquise ou absente</w:t>
            </w:r>
          </w:p>
        </w:tc>
        <w:tc>
          <w:tcPr>
            <w:tcW w:w="1868" w:type="dxa"/>
            <w:shd w:val="clear" w:color="auto" w:fill="BFBFBF" w:themeFill="background1" w:themeFillShade="BF"/>
          </w:tcPr>
          <w:p w14:paraId="5CA3A9CD"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1</w:t>
            </w:r>
          </w:p>
          <w:p w14:paraId="0DB60CAB" w14:textId="77777777" w:rsidR="00294C8C" w:rsidRPr="008B3BC4" w:rsidRDefault="00294C8C" w:rsidP="00E96B8C">
            <w:pPr>
              <w:jc w:val="center"/>
              <w:rPr>
                <w:rFonts w:ascii="Times New Roman" w:hAnsi="Times New Roman" w:cs="Times New Roman"/>
                <w:b/>
                <w:bCs/>
                <w:sz w:val="20"/>
                <w:szCs w:val="20"/>
              </w:rPr>
            </w:pPr>
            <w:r>
              <w:rPr>
                <w:rFonts w:ascii="Times New Roman" w:hAnsi="Times New Roman" w:cs="Times New Roman"/>
                <w:b/>
                <w:bCs/>
                <w:sz w:val="20"/>
                <w:szCs w:val="20"/>
              </w:rPr>
              <w:t>Compétence en voie d’acquisition</w:t>
            </w:r>
          </w:p>
        </w:tc>
        <w:tc>
          <w:tcPr>
            <w:tcW w:w="1519" w:type="dxa"/>
            <w:shd w:val="clear" w:color="auto" w:fill="BFBFBF" w:themeFill="background1" w:themeFillShade="BF"/>
          </w:tcPr>
          <w:p w14:paraId="1C10C4E1"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2</w:t>
            </w:r>
          </w:p>
          <w:p w14:paraId="4A5DAD86" w14:textId="77777777" w:rsidR="00294C8C" w:rsidRPr="008B3BC4" w:rsidRDefault="00294C8C" w:rsidP="00E96B8C">
            <w:pPr>
              <w:jc w:val="center"/>
              <w:rPr>
                <w:rFonts w:ascii="Times New Roman" w:hAnsi="Times New Roman" w:cs="Times New Roman"/>
                <w:b/>
                <w:bCs/>
                <w:sz w:val="20"/>
                <w:szCs w:val="20"/>
              </w:rPr>
            </w:pPr>
            <w:r>
              <w:rPr>
                <w:rFonts w:ascii="Times New Roman" w:hAnsi="Times New Roman" w:cs="Times New Roman"/>
                <w:b/>
                <w:bCs/>
                <w:sz w:val="20"/>
                <w:szCs w:val="20"/>
              </w:rPr>
              <w:t>Compétence acquise</w:t>
            </w:r>
          </w:p>
        </w:tc>
      </w:tr>
      <w:tr w:rsidR="00294C8C" w:rsidRPr="008B3BC4" w14:paraId="1E331B28" w14:textId="77777777" w:rsidTr="00E96B8C">
        <w:tc>
          <w:tcPr>
            <w:tcW w:w="2500" w:type="dxa"/>
            <w:shd w:val="clear" w:color="auto" w:fill="F2F2F2" w:themeFill="background1" w:themeFillShade="F2"/>
          </w:tcPr>
          <w:p w14:paraId="7B742B2C" w14:textId="77777777" w:rsidR="00294C8C" w:rsidRPr="008B3BC4" w:rsidRDefault="00294C8C" w:rsidP="00E96B8C">
            <w:pPr>
              <w:jc w:val="center"/>
              <w:rPr>
                <w:rFonts w:ascii="Times New Roman" w:hAnsi="Times New Roman" w:cs="Times New Roman"/>
                <w:b/>
                <w:bCs/>
                <w:sz w:val="20"/>
                <w:szCs w:val="20"/>
              </w:rPr>
            </w:pPr>
            <w:r w:rsidRPr="008B3BC4">
              <w:rPr>
                <w:rFonts w:ascii="Times New Roman" w:hAnsi="Times New Roman" w:cs="Times New Roman"/>
                <w:b/>
                <w:bCs/>
                <w:sz w:val="20"/>
                <w:szCs w:val="20"/>
              </w:rPr>
              <w:t>CADRE</w:t>
            </w:r>
          </w:p>
        </w:tc>
        <w:tc>
          <w:tcPr>
            <w:tcW w:w="6852" w:type="dxa"/>
            <w:gridSpan w:val="5"/>
            <w:shd w:val="clear" w:color="auto" w:fill="F2F2F2" w:themeFill="background1" w:themeFillShade="F2"/>
          </w:tcPr>
          <w:p w14:paraId="32A92667" w14:textId="77777777" w:rsidR="00294C8C" w:rsidRPr="008B3BC4" w:rsidRDefault="00294C8C" w:rsidP="00E96B8C">
            <w:pPr>
              <w:jc w:val="center"/>
              <w:rPr>
                <w:rFonts w:ascii="Times New Roman" w:hAnsi="Times New Roman" w:cs="Times New Roman"/>
                <w:b/>
                <w:bCs/>
                <w:sz w:val="20"/>
                <w:szCs w:val="20"/>
              </w:rPr>
            </w:pPr>
          </w:p>
        </w:tc>
      </w:tr>
      <w:tr w:rsidR="00294C8C" w:rsidRPr="008B3BC4" w14:paraId="0A7D93D3" w14:textId="77777777" w:rsidTr="00E96B8C">
        <w:tc>
          <w:tcPr>
            <w:tcW w:w="2500" w:type="dxa"/>
          </w:tcPr>
          <w:p w14:paraId="29A589ED" w14:textId="77777777" w:rsidR="00294C8C" w:rsidRPr="008B3BC4" w:rsidRDefault="00294C8C" w:rsidP="00E96B8C">
            <w:pPr>
              <w:rPr>
                <w:rFonts w:ascii="Times New Roman" w:hAnsi="Times New Roman" w:cs="Times New Roman"/>
                <w:b/>
                <w:bCs/>
                <w:sz w:val="20"/>
                <w:szCs w:val="20"/>
              </w:rPr>
            </w:pPr>
            <w:r w:rsidRPr="008B3BC4">
              <w:rPr>
                <w:rFonts w:ascii="Times New Roman" w:hAnsi="Times New Roman" w:cs="Times New Roman"/>
                <w:b/>
                <w:bCs/>
                <w:sz w:val="20"/>
                <w:szCs w:val="20"/>
              </w:rPr>
              <w:t xml:space="preserve">Présentation du cadre </w:t>
            </w:r>
            <w:r>
              <w:rPr>
                <w:rFonts w:ascii="Times New Roman" w:hAnsi="Times New Roman" w:cs="Times New Roman"/>
                <w:b/>
                <w:bCs/>
                <w:sz w:val="20"/>
                <w:szCs w:val="20"/>
              </w:rPr>
              <w:t xml:space="preserve">(règles) </w:t>
            </w:r>
            <w:r w:rsidRPr="008B3BC4">
              <w:rPr>
                <w:rFonts w:ascii="Times New Roman" w:hAnsi="Times New Roman" w:cs="Times New Roman"/>
                <w:b/>
                <w:bCs/>
                <w:sz w:val="20"/>
                <w:szCs w:val="20"/>
              </w:rPr>
              <w:t>de l’entretien</w:t>
            </w:r>
          </w:p>
        </w:tc>
        <w:tc>
          <w:tcPr>
            <w:tcW w:w="1750" w:type="dxa"/>
          </w:tcPr>
          <w:p w14:paraId="4EA90C02"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explique à la personne interrogée le cadre et le contexte de l’entretien, et s’assure qu’elle est consentante à participer.</w:t>
            </w:r>
          </w:p>
          <w:p w14:paraId="463E8A6F" w14:textId="77777777" w:rsidR="00294C8C" w:rsidRPr="008B3BC4" w:rsidRDefault="00294C8C" w:rsidP="00E96B8C">
            <w:pPr>
              <w:rPr>
                <w:rFonts w:ascii="Times New Roman" w:hAnsi="Times New Roman" w:cs="Times New Roman"/>
                <w:sz w:val="20"/>
                <w:szCs w:val="20"/>
              </w:rPr>
            </w:pPr>
          </w:p>
        </w:tc>
        <w:tc>
          <w:tcPr>
            <w:tcW w:w="1715" w:type="dxa"/>
            <w:gridSpan w:val="2"/>
            <w:shd w:val="clear" w:color="auto" w:fill="FFFFFF" w:themeFill="background1"/>
          </w:tcPr>
          <w:p w14:paraId="685198C4"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Ni le contexte, l’objectif, les implications de l’entrevue, ni le consentement ne sont abordés.</w:t>
            </w:r>
          </w:p>
        </w:tc>
        <w:tc>
          <w:tcPr>
            <w:tcW w:w="1868" w:type="dxa"/>
            <w:shd w:val="clear" w:color="auto" w:fill="FFFFFF" w:themeFill="background1"/>
          </w:tcPr>
          <w:p w14:paraId="1D5E8C3E"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Seuls les éléments du contexte de l’entrevue OU du consentement sont abordés.</w:t>
            </w:r>
          </w:p>
        </w:tc>
        <w:tc>
          <w:tcPr>
            <w:tcW w:w="1519" w:type="dxa"/>
            <w:shd w:val="clear" w:color="auto" w:fill="FFFFFF" w:themeFill="background1"/>
          </w:tcPr>
          <w:p w14:paraId="4F36F5B9"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Les éléments du contexte de l’entrevue ET du consentement sont abordés</w:t>
            </w:r>
          </w:p>
        </w:tc>
      </w:tr>
      <w:tr w:rsidR="00294C8C" w:rsidRPr="008B3BC4" w14:paraId="1F044E94" w14:textId="77777777" w:rsidTr="00E96B8C">
        <w:tc>
          <w:tcPr>
            <w:tcW w:w="2500" w:type="dxa"/>
          </w:tcPr>
          <w:p w14:paraId="0E9CC26C" w14:textId="77777777" w:rsidR="00294C8C" w:rsidRPr="008B3BC4" w:rsidRDefault="00294C8C" w:rsidP="00E96B8C">
            <w:pPr>
              <w:jc w:val="both"/>
              <w:rPr>
                <w:rFonts w:ascii="Times New Roman" w:hAnsi="Times New Roman" w:cs="Times New Roman"/>
                <w:b/>
                <w:bCs/>
                <w:sz w:val="20"/>
                <w:szCs w:val="20"/>
              </w:rPr>
            </w:pPr>
            <w:r w:rsidRPr="008B3BC4">
              <w:rPr>
                <w:rFonts w:ascii="Times New Roman" w:hAnsi="Times New Roman" w:cs="Times New Roman"/>
                <w:b/>
                <w:bCs/>
                <w:sz w:val="20"/>
                <w:szCs w:val="20"/>
              </w:rPr>
              <w:t>Respect du temps</w:t>
            </w:r>
          </w:p>
        </w:tc>
        <w:tc>
          <w:tcPr>
            <w:tcW w:w="1750" w:type="dxa"/>
          </w:tcPr>
          <w:p w14:paraId="2EDB68A0"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respecte l</w:t>
            </w:r>
            <w:r>
              <w:rPr>
                <w:rFonts w:ascii="Times New Roman" w:hAnsi="Times New Roman" w:cs="Times New Roman"/>
                <w:sz w:val="20"/>
                <w:szCs w:val="20"/>
              </w:rPr>
              <w:t>a durée prévue de l’entrevue</w:t>
            </w:r>
            <w:r w:rsidRPr="008B3BC4">
              <w:rPr>
                <w:rFonts w:ascii="Times New Roman" w:hAnsi="Times New Roman" w:cs="Times New Roman"/>
                <w:sz w:val="20"/>
                <w:szCs w:val="20"/>
              </w:rPr>
              <w:t xml:space="preserve"> dans le cadre du cours et celui qu’elle annonce à la personne interviewée. </w:t>
            </w:r>
          </w:p>
          <w:p w14:paraId="32498F3A" w14:textId="77777777" w:rsidR="00294C8C" w:rsidRDefault="00294C8C" w:rsidP="00E96B8C">
            <w:pPr>
              <w:rPr>
                <w:rFonts w:ascii="Times New Roman" w:hAnsi="Times New Roman" w:cs="Times New Roman"/>
                <w:sz w:val="20"/>
                <w:szCs w:val="20"/>
              </w:rPr>
            </w:pPr>
          </w:p>
          <w:p w14:paraId="4B087A63" w14:textId="77777777" w:rsidR="00294C8C" w:rsidRPr="008B3BC4" w:rsidRDefault="00294C8C" w:rsidP="00E96B8C">
            <w:pPr>
              <w:rPr>
                <w:rFonts w:ascii="Times New Roman" w:hAnsi="Times New Roman" w:cs="Times New Roman"/>
                <w:sz w:val="20"/>
                <w:szCs w:val="20"/>
              </w:rPr>
            </w:pPr>
          </w:p>
        </w:tc>
        <w:tc>
          <w:tcPr>
            <w:tcW w:w="1715" w:type="dxa"/>
            <w:gridSpan w:val="2"/>
          </w:tcPr>
          <w:p w14:paraId="1F4C0B66" w14:textId="77777777" w:rsidR="00294C8C" w:rsidRPr="008B3BC4" w:rsidRDefault="00294C8C" w:rsidP="00E96B8C">
            <w:pPr>
              <w:rPr>
                <w:rFonts w:ascii="Times New Roman" w:hAnsi="Times New Roman" w:cs="Times New Roman"/>
                <w:sz w:val="20"/>
                <w:szCs w:val="20"/>
              </w:rPr>
            </w:pPr>
            <w:r>
              <w:rPr>
                <w:rFonts w:ascii="Times New Roman" w:hAnsi="Times New Roman" w:cs="Times New Roman"/>
                <w:sz w:val="20"/>
                <w:szCs w:val="20"/>
              </w:rPr>
              <w:t>L</w:t>
            </w:r>
            <w:r w:rsidRPr="003D43D2">
              <w:rPr>
                <w:rFonts w:ascii="Times New Roman" w:hAnsi="Times New Roman" w:cs="Times New Roman"/>
                <w:sz w:val="20"/>
                <w:szCs w:val="20"/>
              </w:rPr>
              <w:t>a durée prévue n’est pas respectée</w:t>
            </w:r>
          </w:p>
        </w:tc>
        <w:tc>
          <w:tcPr>
            <w:tcW w:w="1868" w:type="dxa"/>
          </w:tcPr>
          <w:p w14:paraId="435DFCF4" w14:textId="77777777" w:rsidR="00294C8C" w:rsidRPr="008B3BC4" w:rsidRDefault="00294C8C" w:rsidP="00E96B8C">
            <w:pPr>
              <w:rPr>
                <w:rFonts w:ascii="Times New Roman" w:hAnsi="Times New Roman" w:cs="Times New Roman"/>
                <w:sz w:val="20"/>
                <w:szCs w:val="20"/>
              </w:rPr>
            </w:pPr>
            <w:r>
              <w:rPr>
                <w:rFonts w:ascii="Times New Roman" w:hAnsi="Times New Roman" w:cs="Times New Roman"/>
                <w:sz w:val="20"/>
                <w:szCs w:val="20"/>
              </w:rPr>
              <w:t>L</w:t>
            </w:r>
            <w:r w:rsidRPr="003D43D2">
              <w:rPr>
                <w:rFonts w:ascii="Times New Roman" w:hAnsi="Times New Roman" w:cs="Times New Roman"/>
                <w:sz w:val="20"/>
                <w:szCs w:val="20"/>
              </w:rPr>
              <w:t>a durée prévue n’est pas respectée avec exactitude</w:t>
            </w:r>
            <w:r>
              <w:rPr>
                <w:rFonts w:ascii="Times New Roman" w:hAnsi="Times New Roman" w:cs="Times New Roman"/>
                <w:sz w:val="20"/>
                <w:szCs w:val="20"/>
              </w:rPr>
              <w:t xml:space="preserve"> </w:t>
            </w:r>
            <w:r w:rsidRPr="003D43D2">
              <w:rPr>
                <w:rFonts w:ascii="Times New Roman" w:hAnsi="Times New Roman" w:cs="Times New Roman"/>
                <w:sz w:val="20"/>
                <w:szCs w:val="20"/>
              </w:rPr>
              <w:t>(moins de 20 min. et plus de 30 min.)</w:t>
            </w:r>
          </w:p>
        </w:tc>
        <w:tc>
          <w:tcPr>
            <w:tcW w:w="1519" w:type="dxa"/>
          </w:tcPr>
          <w:p w14:paraId="07BDFFA0" w14:textId="77777777" w:rsidR="00294C8C" w:rsidRPr="008B3BC4" w:rsidRDefault="00294C8C" w:rsidP="00E96B8C">
            <w:pPr>
              <w:rPr>
                <w:rFonts w:ascii="Times New Roman" w:hAnsi="Times New Roman" w:cs="Times New Roman"/>
                <w:sz w:val="20"/>
                <w:szCs w:val="20"/>
              </w:rPr>
            </w:pPr>
            <w:r>
              <w:rPr>
                <w:rFonts w:ascii="Times New Roman" w:hAnsi="Times New Roman" w:cs="Times New Roman"/>
                <w:sz w:val="20"/>
                <w:szCs w:val="20"/>
              </w:rPr>
              <w:t>L</w:t>
            </w:r>
            <w:r w:rsidRPr="009F3D7F">
              <w:rPr>
                <w:rFonts w:ascii="Times New Roman" w:hAnsi="Times New Roman" w:cs="Times New Roman"/>
                <w:sz w:val="20"/>
                <w:szCs w:val="20"/>
              </w:rPr>
              <w:t>a durée prévue est respectée avec exactitude</w:t>
            </w:r>
          </w:p>
        </w:tc>
      </w:tr>
      <w:tr w:rsidR="00294C8C" w:rsidRPr="008B3BC4" w14:paraId="1E1CA923" w14:textId="77777777" w:rsidTr="00E96B8C">
        <w:tc>
          <w:tcPr>
            <w:tcW w:w="2500" w:type="dxa"/>
            <w:shd w:val="clear" w:color="auto" w:fill="F2F2F2" w:themeFill="background1" w:themeFillShade="F2"/>
          </w:tcPr>
          <w:p w14:paraId="0347591D" w14:textId="77777777" w:rsidR="00294C8C" w:rsidRPr="000F02E1" w:rsidRDefault="00294C8C" w:rsidP="00E96B8C">
            <w:pPr>
              <w:jc w:val="both"/>
              <w:rPr>
                <w:rFonts w:ascii="Times New Roman" w:hAnsi="Times New Roman" w:cs="Times New Roman"/>
                <w:b/>
                <w:bCs/>
                <w:sz w:val="20"/>
                <w:szCs w:val="20"/>
              </w:rPr>
            </w:pPr>
            <w:r w:rsidRPr="000F02E1">
              <w:rPr>
                <w:rFonts w:ascii="Times New Roman" w:hAnsi="Times New Roman" w:cs="Times New Roman"/>
                <w:b/>
                <w:bCs/>
                <w:sz w:val="20"/>
                <w:szCs w:val="20"/>
              </w:rPr>
              <w:lastRenderedPageBreak/>
              <w:t>UTILISATION DU GUIDE</w:t>
            </w:r>
          </w:p>
        </w:tc>
        <w:tc>
          <w:tcPr>
            <w:tcW w:w="6852" w:type="dxa"/>
            <w:gridSpan w:val="5"/>
            <w:shd w:val="clear" w:color="auto" w:fill="F2F2F2" w:themeFill="background1" w:themeFillShade="F2"/>
          </w:tcPr>
          <w:p w14:paraId="63325CBD" w14:textId="77777777" w:rsidR="00294C8C" w:rsidRPr="000F02E1" w:rsidRDefault="00294C8C" w:rsidP="00E96B8C">
            <w:pPr>
              <w:rPr>
                <w:rFonts w:ascii="Times New Roman" w:hAnsi="Times New Roman" w:cs="Times New Roman"/>
                <w:sz w:val="20"/>
                <w:szCs w:val="20"/>
              </w:rPr>
            </w:pPr>
          </w:p>
        </w:tc>
      </w:tr>
      <w:tr w:rsidR="00294C8C" w:rsidRPr="008B3BC4" w14:paraId="1C1281B0" w14:textId="77777777" w:rsidTr="00E96B8C">
        <w:tc>
          <w:tcPr>
            <w:tcW w:w="2500" w:type="dxa"/>
            <w:shd w:val="clear" w:color="auto" w:fill="FFFFFF" w:themeFill="background1"/>
          </w:tcPr>
          <w:p w14:paraId="4C917277" w14:textId="77777777" w:rsidR="00294C8C" w:rsidRPr="000F02E1" w:rsidRDefault="00294C8C" w:rsidP="00E96B8C">
            <w:pPr>
              <w:jc w:val="both"/>
              <w:rPr>
                <w:rFonts w:ascii="Times New Roman" w:hAnsi="Times New Roman" w:cs="Times New Roman"/>
                <w:sz w:val="20"/>
                <w:szCs w:val="20"/>
              </w:rPr>
            </w:pPr>
            <w:r w:rsidRPr="000F02E1">
              <w:rPr>
                <w:rFonts w:ascii="Times New Roman" w:hAnsi="Times New Roman" w:cs="Times New Roman"/>
                <w:sz w:val="20"/>
                <w:szCs w:val="20"/>
              </w:rPr>
              <w:t>Utilisation judicieuse du guide d’entretien</w:t>
            </w:r>
          </w:p>
        </w:tc>
        <w:tc>
          <w:tcPr>
            <w:tcW w:w="1756" w:type="dxa"/>
            <w:gridSpan w:val="2"/>
            <w:shd w:val="clear" w:color="auto" w:fill="FFFFFF" w:themeFill="background1"/>
          </w:tcPr>
          <w:p w14:paraId="02E11567"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L’</w:t>
            </w:r>
            <w:proofErr w:type="spellStart"/>
            <w:r w:rsidRPr="000F02E1">
              <w:rPr>
                <w:rFonts w:ascii="Times New Roman" w:hAnsi="Times New Roman" w:cs="Times New Roman"/>
                <w:sz w:val="20"/>
                <w:szCs w:val="20"/>
              </w:rPr>
              <w:t>étudiant-e</w:t>
            </w:r>
            <w:proofErr w:type="spellEnd"/>
            <w:r w:rsidRPr="000F02E1">
              <w:rPr>
                <w:rFonts w:ascii="Times New Roman" w:hAnsi="Times New Roman" w:cs="Times New Roman"/>
                <w:sz w:val="20"/>
                <w:szCs w:val="20"/>
              </w:rPr>
              <w:t xml:space="preserve"> explore les questions du guide d’entretien. L’exploration des questions est structurée sans être rigide.</w:t>
            </w:r>
            <w:r w:rsidRPr="000F02E1">
              <w:rPr>
                <w:rFonts w:ascii="Times New Roman" w:hAnsi="Times New Roman" w:cs="Times New Roman"/>
                <w:sz w:val="20"/>
                <w:szCs w:val="20"/>
              </w:rPr>
              <w:tab/>
            </w:r>
          </w:p>
        </w:tc>
        <w:tc>
          <w:tcPr>
            <w:tcW w:w="1709" w:type="dxa"/>
            <w:shd w:val="clear" w:color="auto" w:fill="FFFFFF" w:themeFill="background1"/>
          </w:tcPr>
          <w:p w14:paraId="0FFEBF8D"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Aucune ou peu de questions du guide d’entretien n’est abordée pendant l’entrevue</w:t>
            </w:r>
          </w:p>
        </w:tc>
        <w:tc>
          <w:tcPr>
            <w:tcW w:w="1868" w:type="dxa"/>
            <w:shd w:val="clear" w:color="auto" w:fill="FFFFFF" w:themeFill="background1"/>
          </w:tcPr>
          <w:p w14:paraId="3B07415E"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La majorité des questions du guide d’entretien sont abordées pendant l’entrevue. L’exploration des questions est généralement fluide.</w:t>
            </w:r>
          </w:p>
        </w:tc>
        <w:tc>
          <w:tcPr>
            <w:tcW w:w="1519" w:type="dxa"/>
            <w:shd w:val="clear" w:color="auto" w:fill="FFFFFF" w:themeFill="background1"/>
          </w:tcPr>
          <w:p w14:paraId="20638605" w14:textId="77777777" w:rsidR="00294C8C" w:rsidRPr="000F02E1" w:rsidRDefault="00294C8C" w:rsidP="00E96B8C">
            <w:pPr>
              <w:rPr>
                <w:rFonts w:ascii="Times New Roman" w:hAnsi="Times New Roman" w:cs="Times New Roman"/>
                <w:sz w:val="20"/>
                <w:szCs w:val="20"/>
              </w:rPr>
            </w:pPr>
            <w:r w:rsidRPr="000F02E1">
              <w:rPr>
                <w:rFonts w:ascii="Times New Roman" w:hAnsi="Times New Roman" w:cs="Times New Roman"/>
                <w:sz w:val="20"/>
                <w:szCs w:val="20"/>
              </w:rPr>
              <w:t>L’ensemble des questions du guide d’entretien sont abordées pendant l’entrevue.</w:t>
            </w:r>
          </w:p>
          <w:p w14:paraId="2519439C"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L’exploration des questions est fluide.</w:t>
            </w:r>
          </w:p>
          <w:p w14:paraId="554390B0" w14:textId="77777777" w:rsidR="00294C8C" w:rsidRPr="000F02E1" w:rsidRDefault="00294C8C" w:rsidP="00E96B8C">
            <w:pPr>
              <w:tabs>
                <w:tab w:val="left" w:pos="1333"/>
              </w:tabs>
              <w:rPr>
                <w:rFonts w:ascii="Times New Roman" w:hAnsi="Times New Roman" w:cs="Times New Roman"/>
                <w:sz w:val="20"/>
                <w:szCs w:val="20"/>
              </w:rPr>
            </w:pPr>
          </w:p>
        </w:tc>
      </w:tr>
      <w:tr w:rsidR="00294C8C" w:rsidRPr="008B3BC4" w14:paraId="4E7E3431" w14:textId="77777777" w:rsidTr="00E96B8C">
        <w:tc>
          <w:tcPr>
            <w:tcW w:w="2500" w:type="dxa"/>
            <w:shd w:val="clear" w:color="auto" w:fill="FFFFFF" w:themeFill="background1"/>
          </w:tcPr>
          <w:p w14:paraId="0D05F6EF" w14:textId="77777777" w:rsidR="00294C8C" w:rsidRPr="000F02E1" w:rsidRDefault="00294C8C" w:rsidP="00E96B8C">
            <w:pPr>
              <w:jc w:val="both"/>
              <w:rPr>
                <w:rFonts w:ascii="Times New Roman" w:hAnsi="Times New Roman" w:cs="Times New Roman"/>
                <w:sz w:val="20"/>
                <w:szCs w:val="20"/>
              </w:rPr>
            </w:pPr>
            <w:r w:rsidRPr="000F02E1">
              <w:rPr>
                <w:rFonts w:ascii="Times New Roman" w:hAnsi="Times New Roman" w:cs="Times New Roman"/>
                <w:sz w:val="20"/>
                <w:szCs w:val="20"/>
              </w:rPr>
              <w:t>Cohérence entre les questions posées et la question de recherche</w:t>
            </w:r>
          </w:p>
          <w:p w14:paraId="38DEF8EE" w14:textId="77777777" w:rsidR="00294C8C" w:rsidRPr="000F02E1" w:rsidRDefault="00294C8C" w:rsidP="00E96B8C">
            <w:pPr>
              <w:jc w:val="both"/>
              <w:rPr>
                <w:rFonts w:ascii="Times New Roman" w:hAnsi="Times New Roman" w:cs="Times New Roman"/>
                <w:sz w:val="20"/>
                <w:szCs w:val="20"/>
              </w:rPr>
            </w:pPr>
          </w:p>
        </w:tc>
        <w:tc>
          <w:tcPr>
            <w:tcW w:w="1756" w:type="dxa"/>
            <w:gridSpan w:val="2"/>
            <w:shd w:val="clear" w:color="auto" w:fill="FFFFFF" w:themeFill="background1"/>
          </w:tcPr>
          <w:p w14:paraId="5D008E96"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L’</w:t>
            </w:r>
            <w:proofErr w:type="spellStart"/>
            <w:r w:rsidRPr="000F02E1">
              <w:rPr>
                <w:rFonts w:ascii="Times New Roman" w:hAnsi="Times New Roman" w:cs="Times New Roman"/>
                <w:sz w:val="20"/>
                <w:szCs w:val="20"/>
              </w:rPr>
              <w:t>étudiant-e</w:t>
            </w:r>
            <w:proofErr w:type="spellEnd"/>
            <w:r w:rsidRPr="000F02E1">
              <w:rPr>
                <w:rFonts w:ascii="Times New Roman" w:hAnsi="Times New Roman" w:cs="Times New Roman"/>
                <w:sz w:val="20"/>
                <w:szCs w:val="20"/>
              </w:rPr>
              <w:t xml:space="preserve"> pose des questions qui sont cohérentes avec la question de recherche et les concepts sensibilisateurs (se référer au contexte théorique proposé à l’annexe A)</w:t>
            </w:r>
          </w:p>
          <w:p w14:paraId="796AFF4F" w14:textId="77777777" w:rsidR="00294C8C" w:rsidRPr="000F02E1" w:rsidRDefault="00294C8C" w:rsidP="00E96B8C">
            <w:pPr>
              <w:tabs>
                <w:tab w:val="left" w:pos="1333"/>
              </w:tabs>
              <w:rPr>
                <w:rFonts w:ascii="Times New Roman" w:hAnsi="Times New Roman" w:cs="Times New Roman"/>
                <w:sz w:val="20"/>
                <w:szCs w:val="20"/>
              </w:rPr>
            </w:pPr>
          </w:p>
        </w:tc>
        <w:tc>
          <w:tcPr>
            <w:tcW w:w="1709" w:type="dxa"/>
            <w:shd w:val="clear" w:color="auto" w:fill="FFFFFF" w:themeFill="background1"/>
          </w:tcPr>
          <w:p w14:paraId="18D16C58"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Les questions posées ne sont ni cohérentes avec la question de recherche et les concepts sensibilisateurs.</w:t>
            </w:r>
          </w:p>
        </w:tc>
        <w:tc>
          <w:tcPr>
            <w:tcW w:w="1868" w:type="dxa"/>
            <w:shd w:val="clear" w:color="auto" w:fill="FFFFFF" w:themeFill="background1"/>
          </w:tcPr>
          <w:p w14:paraId="35361C26" w14:textId="77777777" w:rsidR="00294C8C" w:rsidRPr="000F02E1" w:rsidRDefault="00294C8C" w:rsidP="00E96B8C">
            <w:pPr>
              <w:tabs>
                <w:tab w:val="left" w:pos="1333"/>
              </w:tabs>
              <w:rPr>
                <w:rFonts w:ascii="Times New Roman" w:hAnsi="Times New Roman" w:cs="Times New Roman"/>
                <w:sz w:val="20"/>
                <w:szCs w:val="20"/>
              </w:rPr>
            </w:pPr>
            <w:r w:rsidRPr="000F02E1">
              <w:rPr>
                <w:rFonts w:ascii="Times New Roman" w:hAnsi="Times New Roman" w:cs="Times New Roman"/>
                <w:sz w:val="20"/>
                <w:szCs w:val="20"/>
              </w:rPr>
              <w:t>Les questions posées sont cohérentes avec la question de recherche OU avec les concepts sensibilisateurs</w:t>
            </w:r>
          </w:p>
        </w:tc>
        <w:tc>
          <w:tcPr>
            <w:tcW w:w="1519" w:type="dxa"/>
            <w:shd w:val="clear" w:color="auto" w:fill="FFFFFF" w:themeFill="background1"/>
          </w:tcPr>
          <w:p w14:paraId="77E2AFC6" w14:textId="77777777" w:rsidR="00294C8C" w:rsidRPr="000F02E1" w:rsidRDefault="00294C8C" w:rsidP="00E96B8C">
            <w:pPr>
              <w:rPr>
                <w:rFonts w:ascii="Times New Roman" w:hAnsi="Times New Roman" w:cs="Times New Roman"/>
                <w:sz w:val="20"/>
                <w:szCs w:val="20"/>
              </w:rPr>
            </w:pPr>
            <w:r w:rsidRPr="000F02E1">
              <w:rPr>
                <w:rFonts w:ascii="Times New Roman" w:hAnsi="Times New Roman" w:cs="Times New Roman"/>
                <w:sz w:val="20"/>
                <w:szCs w:val="20"/>
              </w:rPr>
              <w:t>Les questions posées sont cohérentes avec la question de recherche ET avec les concepts sensibilisateurs</w:t>
            </w:r>
          </w:p>
        </w:tc>
      </w:tr>
      <w:tr w:rsidR="00294C8C" w:rsidRPr="008B3BC4" w14:paraId="2DBDB38D" w14:textId="77777777" w:rsidTr="00E96B8C">
        <w:tc>
          <w:tcPr>
            <w:tcW w:w="2500" w:type="dxa"/>
            <w:shd w:val="clear" w:color="auto" w:fill="F2F2F2" w:themeFill="background1" w:themeFillShade="F2"/>
          </w:tcPr>
          <w:p w14:paraId="5AA51FFB" w14:textId="77777777" w:rsidR="00294C8C" w:rsidRPr="008B3BC4" w:rsidRDefault="00294C8C" w:rsidP="00E96B8C">
            <w:pPr>
              <w:jc w:val="both"/>
              <w:rPr>
                <w:rFonts w:ascii="Times New Roman" w:hAnsi="Times New Roman" w:cs="Times New Roman"/>
                <w:b/>
                <w:bCs/>
                <w:sz w:val="20"/>
                <w:szCs w:val="20"/>
              </w:rPr>
            </w:pPr>
            <w:r w:rsidRPr="008B3BC4">
              <w:rPr>
                <w:rFonts w:ascii="Times New Roman" w:hAnsi="Times New Roman" w:cs="Times New Roman"/>
                <w:b/>
                <w:bCs/>
                <w:sz w:val="20"/>
                <w:szCs w:val="20"/>
              </w:rPr>
              <w:t xml:space="preserve"> RELATIONNEL</w:t>
            </w:r>
          </w:p>
        </w:tc>
        <w:tc>
          <w:tcPr>
            <w:tcW w:w="6852" w:type="dxa"/>
            <w:gridSpan w:val="5"/>
            <w:shd w:val="clear" w:color="auto" w:fill="F2F2F2" w:themeFill="background1" w:themeFillShade="F2"/>
          </w:tcPr>
          <w:p w14:paraId="0BC8B468" w14:textId="77777777" w:rsidR="00294C8C" w:rsidRPr="008B3BC4" w:rsidRDefault="00294C8C" w:rsidP="00E96B8C">
            <w:pPr>
              <w:jc w:val="both"/>
              <w:rPr>
                <w:rFonts w:ascii="Times New Roman" w:hAnsi="Times New Roman" w:cs="Times New Roman"/>
                <w:b/>
                <w:bCs/>
                <w:sz w:val="20"/>
                <w:szCs w:val="20"/>
              </w:rPr>
            </w:pPr>
          </w:p>
        </w:tc>
      </w:tr>
      <w:tr w:rsidR="00294C8C" w:rsidRPr="008B3BC4" w14:paraId="77213F19" w14:textId="77777777" w:rsidTr="00E96B8C">
        <w:tc>
          <w:tcPr>
            <w:tcW w:w="2500" w:type="dxa"/>
          </w:tcPr>
          <w:p w14:paraId="619E03C9" w14:textId="77777777" w:rsidR="00294C8C" w:rsidRPr="008B3BC4" w:rsidRDefault="00294C8C" w:rsidP="00E96B8C">
            <w:pPr>
              <w:rPr>
                <w:rFonts w:ascii="Times New Roman" w:hAnsi="Times New Roman" w:cs="Times New Roman"/>
                <w:b/>
                <w:bCs/>
                <w:sz w:val="20"/>
                <w:szCs w:val="20"/>
              </w:rPr>
            </w:pPr>
            <w:r w:rsidRPr="008B3BC4">
              <w:rPr>
                <w:rFonts w:ascii="Times New Roman" w:hAnsi="Times New Roman" w:cs="Times New Roman"/>
                <w:b/>
                <w:bCs/>
                <w:sz w:val="20"/>
                <w:szCs w:val="20"/>
              </w:rPr>
              <w:t>Mode d’interrogation ouvert</w:t>
            </w:r>
          </w:p>
        </w:tc>
        <w:tc>
          <w:tcPr>
            <w:tcW w:w="1750" w:type="dxa"/>
          </w:tcPr>
          <w:p w14:paraId="06040E84"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utilise des questions de relance ouvertes, c’est-à-dire qu’elles permettent à la personne interrogée d</w:t>
            </w:r>
            <w:r>
              <w:rPr>
                <w:rFonts w:ascii="Times New Roman" w:hAnsi="Times New Roman" w:cs="Times New Roman"/>
                <w:sz w:val="20"/>
                <w:szCs w:val="20"/>
              </w:rPr>
              <w:t>’élaborer sa pensée</w:t>
            </w:r>
            <w:r w:rsidRPr="008B3BC4">
              <w:rPr>
                <w:rFonts w:ascii="Times New Roman" w:hAnsi="Times New Roman" w:cs="Times New Roman"/>
                <w:sz w:val="20"/>
                <w:szCs w:val="20"/>
              </w:rPr>
              <w:t xml:space="preserve"> et dans ses propres mots.</w:t>
            </w:r>
          </w:p>
        </w:tc>
        <w:tc>
          <w:tcPr>
            <w:tcW w:w="1715" w:type="dxa"/>
            <w:gridSpan w:val="2"/>
          </w:tcPr>
          <w:p w14:paraId="64AD7EEB" w14:textId="77777777" w:rsidR="00294C8C" w:rsidRPr="008B3BC4" w:rsidRDefault="00294C8C" w:rsidP="00E96B8C">
            <w:pPr>
              <w:rPr>
                <w:rFonts w:ascii="Times New Roman" w:hAnsi="Times New Roman" w:cs="Times New Roman"/>
                <w:sz w:val="20"/>
                <w:szCs w:val="20"/>
              </w:rPr>
            </w:pPr>
            <w:r>
              <w:rPr>
                <w:rFonts w:ascii="Times New Roman" w:hAnsi="Times New Roman" w:cs="Times New Roman"/>
                <w:sz w:val="20"/>
                <w:szCs w:val="20"/>
              </w:rPr>
              <w:t xml:space="preserve">Il n’y a pas de questions de relance ou celles-ci </w:t>
            </w:r>
            <w:r w:rsidRPr="008B3BC4">
              <w:rPr>
                <w:rFonts w:ascii="Times New Roman" w:hAnsi="Times New Roman" w:cs="Times New Roman"/>
                <w:sz w:val="20"/>
                <w:szCs w:val="20"/>
              </w:rPr>
              <w:t xml:space="preserve">suggèrent des réponses et </w:t>
            </w:r>
            <w:r>
              <w:rPr>
                <w:rFonts w:ascii="Times New Roman" w:hAnsi="Times New Roman" w:cs="Times New Roman"/>
                <w:sz w:val="20"/>
                <w:szCs w:val="20"/>
              </w:rPr>
              <w:t xml:space="preserve">ne laissent pas place à l’élaboration de la pensée de </w:t>
            </w:r>
            <w:r w:rsidRPr="008B3BC4">
              <w:rPr>
                <w:rFonts w:ascii="Times New Roman" w:hAnsi="Times New Roman" w:cs="Times New Roman"/>
                <w:sz w:val="20"/>
                <w:szCs w:val="20"/>
              </w:rPr>
              <w:t xml:space="preserve">la personne interrogée </w:t>
            </w:r>
          </w:p>
        </w:tc>
        <w:tc>
          <w:tcPr>
            <w:tcW w:w="1868" w:type="dxa"/>
          </w:tcPr>
          <w:p w14:paraId="6EEAFA93"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Les questions de relance sont tantôt ouvertes, tantôt fermées</w:t>
            </w:r>
            <w:r>
              <w:rPr>
                <w:rFonts w:ascii="Times New Roman" w:hAnsi="Times New Roman" w:cs="Times New Roman"/>
                <w:sz w:val="20"/>
                <w:szCs w:val="20"/>
              </w:rPr>
              <w:t xml:space="preserve"> et sont généralement pertinentes. Il arrive que l’</w:t>
            </w:r>
            <w:proofErr w:type="spellStart"/>
            <w:r>
              <w:rPr>
                <w:rFonts w:ascii="Times New Roman" w:hAnsi="Times New Roman" w:cs="Times New Roman"/>
                <w:sz w:val="20"/>
                <w:szCs w:val="20"/>
              </w:rPr>
              <w:t>étudiant-e</w:t>
            </w:r>
            <w:proofErr w:type="spellEnd"/>
            <w:r>
              <w:rPr>
                <w:rFonts w:ascii="Times New Roman" w:hAnsi="Times New Roman" w:cs="Times New Roman"/>
                <w:sz w:val="20"/>
                <w:szCs w:val="20"/>
              </w:rPr>
              <w:t xml:space="preserve"> suggère des réponses dans la formulation de ses questions ou de ses commentaires</w:t>
            </w:r>
          </w:p>
        </w:tc>
        <w:tc>
          <w:tcPr>
            <w:tcW w:w="1519" w:type="dxa"/>
          </w:tcPr>
          <w:p w14:paraId="479BC73F"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Les questions de relance ne suggèrent pas de réponse à la personne interrogée. Elles laissent toute la place au vécu subjectif de la personne interrogée</w:t>
            </w:r>
          </w:p>
          <w:p w14:paraId="3E37A0D1" w14:textId="77777777" w:rsidR="00294C8C" w:rsidRPr="008B3BC4" w:rsidRDefault="00294C8C" w:rsidP="00E96B8C">
            <w:pPr>
              <w:rPr>
                <w:rFonts w:ascii="Times New Roman" w:hAnsi="Times New Roman" w:cs="Times New Roman"/>
                <w:sz w:val="20"/>
                <w:szCs w:val="20"/>
              </w:rPr>
            </w:pPr>
          </w:p>
        </w:tc>
      </w:tr>
      <w:tr w:rsidR="00294C8C" w:rsidRPr="008B3BC4" w14:paraId="5F520542" w14:textId="77777777" w:rsidTr="00E96B8C">
        <w:tc>
          <w:tcPr>
            <w:tcW w:w="2500" w:type="dxa"/>
          </w:tcPr>
          <w:p w14:paraId="517EA5BB" w14:textId="77777777" w:rsidR="00294C8C" w:rsidRPr="008B3BC4" w:rsidRDefault="00294C8C" w:rsidP="00E96B8C">
            <w:pPr>
              <w:rPr>
                <w:rFonts w:ascii="Times New Roman" w:hAnsi="Times New Roman" w:cs="Times New Roman"/>
                <w:b/>
                <w:bCs/>
                <w:sz w:val="20"/>
                <w:szCs w:val="20"/>
              </w:rPr>
            </w:pPr>
            <w:r>
              <w:rPr>
                <w:rFonts w:ascii="Times New Roman" w:hAnsi="Times New Roman" w:cs="Times New Roman"/>
                <w:b/>
                <w:bCs/>
                <w:sz w:val="20"/>
                <w:szCs w:val="20"/>
              </w:rPr>
              <w:t>Proximité</w:t>
            </w:r>
            <w:r w:rsidRPr="008B3BC4">
              <w:rPr>
                <w:rFonts w:ascii="Times New Roman" w:hAnsi="Times New Roman" w:cs="Times New Roman"/>
                <w:b/>
                <w:bCs/>
                <w:sz w:val="20"/>
                <w:szCs w:val="20"/>
              </w:rPr>
              <w:t xml:space="preserve"> relationnelle adéquate</w:t>
            </w:r>
          </w:p>
        </w:tc>
        <w:tc>
          <w:tcPr>
            <w:tcW w:w="1750" w:type="dxa"/>
          </w:tcPr>
          <w:p w14:paraId="02A8D652"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maintient une</w:t>
            </w:r>
            <w:r>
              <w:rPr>
                <w:rFonts w:ascii="Times New Roman" w:hAnsi="Times New Roman" w:cs="Times New Roman"/>
                <w:sz w:val="20"/>
                <w:szCs w:val="20"/>
              </w:rPr>
              <w:t xml:space="preserve"> proximité</w:t>
            </w:r>
            <w:r w:rsidRPr="008B3BC4">
              <w:rPr>
                <w:rFonts w:ascii="Times New Roman" w:hAnsi="Times New Roman" w:cs="Times New Roman"/>
                <w:sz w:val="20"/>
                <w:szCs w:val="20"/>
              </w:rPr>
              <w:t xml:space="preserve"> relationnelle adéquate au contexte d’un entretien de recherche : ni trop </w:t>
            </w:r>
            <w:r>
              <w:rPr>
                <w:rFonts w:ascii="Times New Roman" w:hAnsi="Times New Roman" w:cs="Times New Roman"/>
                <w:sz w:val="20"/>
                <w:szCs w:val="20"/>
              </w:rPr>
              <w:t>proche</w:t>
            </w:r>
            <w:r w:rsidRPr="008B3BC4">
              <w:rPr>
                <w:rFonts w:ascii="Times New Roman" w:hAnsi="Times New Roman" w:cs="Times New Roman"/>
                <w:sz w:val="20"/>
                <w:szCs w:val="20"/>
              </w:rPr>
              <w:t xml:space="preserve"> (</w:t>
            </w:r>
            <w:r>
              <w:rPr>
                <w:rFonts w:ascii="Times New Roman" w:hAnsi="Times New Roman" w:cs="Times New Roman"/>
                <w:sz w:val="20"/>
                <w:szCs w:val="20"/>
              </w:rPr>
              <w:t xml:space="preserve">trop </w:t>
            </w:r>
            <w:r w:rsidRPr="008B3BC4">
              <w:rPr>
                <w:rFonts w:ascii="Times New Roman" w:hAnsi="Times New Roman" w:cs="Times New Roman"/>
                <w:sz w:val="20"/>
                <w:szCs w:val="20"/>
              </w:rPr>
              <w:t>familier</w:t>
            </w:r>
            <w:r>
              <w:rPr>
                <w:rFonts w:ascii="Times New Roman" w:hAnsi="Times New Roman" w:cs="Times New Roman"/>
                <w:sz w:val="20"/>
                <w:szCs w:val="20"/>
              </w:rPr>
              <w:t xml:space="preserve">, voire </w:t>
            </w:r>
            <w:r w:rsidRPr="008B3BC4">
              <w:rPr>
                <w:rFonts w:ascii="Times New Roman" w:hAnsi="Times New Roman" w:cs="Times New Roman"/>
                <w:sz w:val="20"/>
                <w:szCs w:val="20"/>
              </w:rPr>
              <w:t>intime, etc.)</w:t>
            </w:r>
            <w:r>
              <w:rPr>
                <w:rFonts w:ascii="Times New Roman" w:hAnsi="Times New Roman" w:cs="Times New Roman"/>
                <w:sz w:val="20"/>
                <w:szCs w:val="20"/>
              </w:rPr>
              <w:t xml:space="preserve">, </w:t>
            </w:r>
            <w:r w:rsidRPr="008B3BC4">
              <w:rPr>
                <w:rFonts w:ascii="Times New Roman" w:hAnsi="Times New Roman" w:cs="Times New Roman"/>
                <w:sz w:val="20"/>
                <w:szCs w:val="20"/>
              </w:rPr>
              <w:t xml:space="preserve">ni trop </w:t>
            </w:r>
            <w:r>
              <w:rPr>
                <w:rFonts w:ascii="Times New Roman" w:hAnsi="Times New Roman" w:cs="Times New Roman"/>
                <w:sz w:val="20"/>
                <w:szCs w:val="20"/>
              </w:rPr>
              <w:t>distante</w:t>
            </w:r>
            <w:r w:rsidRPr="008B3BC4">
              <w:rPr>
                <w:rFonts w:ascii="Times New Roman" w:hAnsi="Times New Roman" w:cs="Times New Roman"/>
                <w:sz w:val="20"/>
                <w:szCs w:val="20"/>
              </w:rPr>
              <w:t xml:space="preserve"> (impersonnel, froid, distant, etc.), </w:t>
            </w:r>
          </w:p>
        </w:tc>
        <w:tc>
          <w:tcPr>
            <w:tcW w:w="1715" w:type="dxa"/>
            <w:gridSpan w:val="2"/>
          </w:tcPr>
          <w:p w14:paraId="2232C409"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w:t>
            </w:r>
            <w:r>
              <w:rPr>
                <w:rFonts w:ascii="Times New Roman" w:hAnsi="Times New Roman" w:cs="Times New Roman"/>
                <w:sz w:val="20"/>
                <w:szCs w:val="20"/>
              </w:rPr>
              <w:t>adopte une proximité relationnelle s</w:t>
            </w:r>
            <w:r w:rsidRPr="008B3BC4">
              <w:rPr>
                <w:rFonts w:ascii="Times New Roman" w:hAnsi="Times New Roman" w:cs="Times New Roman"/>
                <w:sz w:val="20"/>
                <w:szCs w:val="20"/>
              </w:rPr>
              <w:t>oit trop proche (collusion dans le vécu partagé, références personnelles à un vécu partagés ensemble, ton de conversation, etc.)</w:t>
            </w:r>
            <w:r>
              <w:rPr>
                <w:rFonts w:ascii="Times New Roman" w:hAnsi="Times New Roman" w:cs="Times New Roman"/>
                <w:sz w:val="20"/>
                <w:szCs w:val="20"/>
              </w:rPr>
              <w:t>, soit</w:t>
            </w:r>
            <w:r w:rsidRPr="008B3BC4">
              <w:rPr>
                <w:rFonts w:ascii="Times New Roman" w:hAnsi="Times New Roman" w:cs="Times New Roman"/>
                <w:sz w:val="20"/>
                <w:szCs w:val="20"/>
              </w:rPr>
              <w:t xml:space="preserve"> trop </w:t>
            </w:r>
            <w:r>
              <w:rPr>
                <w:rFonts w:ascii="Times New Roman" w:hAnsi="Times New Roman" w:cs="Times New Roman"/>
                <w:sz w:val="20"/>
                <w:szCs w:val="20"/>
              </w:rPr>
              <w:t>distante</w:t>
            </w:r>
            <w:r w:rsidRPr="008B3BC4">
              <w:rPr>
                <w:rFonts w:ascii="Times New Roman" w:hAnsi="Times New Roman" w:cs="Times New Roman"/>
                <w:sz w:val="20"/>
                <w:szCs w:val="20"/>
              </w:rPr>
              <w:t xml:space="preserve"> (froideur, rigidité, etc.)</w:t>
            </w:r>
          </w:p>
        </w:tc>
        <w:tc>
          <w:tcPr>
            <w:tcW w:w="1868" w:type="dxa"/>
          </w:tcPr>
          <w:p w14:paraId="10974240"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Pr>
                <w:rFonts w:ascii="Times New Roman" w:hAnsi="Times New Roman" w:cs="Times New Roman"/>
                <w:sz w:val="20"/>
                <w:szCs w:val="20"/>
              </w:rPr>
              <w:t xml:space="preserve"> adopte </w:t>
            </w:r>
            <w:r w:rsidRPr="008B3BC4">
              <w:rPr>
                <w:rFonts w:ascii="Times New Roman" w:hAnsi="Times New Roman" w:cs="Times New Roman"/>
                <w:sz w:val="20"/>
                <w:szCs w:val="20"/>
              </w:rPr>
              <w:t xml:space="preserve">une </w:t>
            </w:r>
            <w:r>
              <w:rPr>
                <w:rFonts w:ascii="Times New Roman" w:hAnsi="Times New Roman" w:cs="Times New Roman"/>
                <w:sz w:val="20"/>
                <w:szCs w:val="20"/>
              </w:rPr>
              <w:t>proximité</w:t>
            </w:r>
            <w:r w:rsidRPr="008B3BC4">
              <w:rPr>
                <w:rFonts w:ascii="Times New Roman" w:hAnsi="Times New Roman" w:cs="Times New Roman"/>
                <w:sz w:val="20"/>
                <w:szCs w:val="20"/>
              </w:rPr>
              <w:t xml:space="preserve"> relationnelle par moment trop proche ou trop </w:t>
            </w:r>
            <w:r>
              <w:rPr>
                <w:rFonts w:ascii="Times New Roman" w:hAnsi="Times New Roman" w:cs="Times New Roman"/>
                <w:sz w:val="20"/>
                <w:szCs w:val="20"/>
              </w:rPr>
              <w:t>distante</w:t>
            </w:r>
            <w:r w:rsidRPr="008B3BC4">
              <w:rPr>
                <w:rFonts w:ascii="Times New Roman" w:hAnsi="Times New Roman" w:cs="Times New Roman"/>
                <w:sz w:val="20"/>
                <w:szCs w:val="20"/>
              </w:rPr>
              <w:t>, mais globalement</w:t>
            </w:r>
            <w:r>
              <w:rPr>
                <w:rFonts w:ascii="Times New Roman" w:hAnsi="Times New Roman" w:cs="Times New Roman"/>
                <w:sz w:val="20"/>
                <w:szCs w:val="20"/>
              </w:rPr>
              <w:t>,</w:t>
            </w:r>
            <w:r w:rsidRPr="008B3BC4">
              <w:rPr>
                <w:rFonts w:ascii="Times New Roman" w:hAnsi="Times New Roman" w:cs="Times New Roman"/>
                <w:sz w:val="20"/>
                <w:szCs w:val="20"/>
              </w:rPr>
              <w:t xml:space="preserve"> la </w:t>
            </w:r>
            <w:r>
              <w:rPr>
                <w:rFonts w:ascii="Times New Roman" w:hAnsi="Times New Roman" w:cs="Times New Roman"/>
                <w:sz w:val="20"/>
                <w:szCs w:val="20"/>
              </w:rPr>
              <w:t>proximité</w:t>
            </w:r>
            <w:r w:rsidRPr="008B3BC4">
              <w:rPr>
                <w:rFonts w:ascii="Times New Roman" w:hAnsi="Times New Roman" w:cs="Times New Roman"/>
                <w:sz w:val="20"/>
                <w:szCs w:val="20"/>
              </w:rPr>
              <w:t xml:space="preserve"> est adéquate.</w:t>
            </w:r>
          </w:p>
        </w:tc>
        <w:tc>
          <w:tcPr>
            <w:tcW w:w="1519" w:type="dxa"/>
          </w:tcPr>
          <w:p w14:paraId="15D5457A"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w:t>
            </w:r>
            <w:r>
              <w:rPr>
                <w:rFonts w:ascii="Times New Roman" w:hAnsi="Times New Roman" w:cs="Times New Roman"/>
                <w:sz w:val="20"/>
                <w:szCs w:val="20"/>
              </w:rPr>
              <w:t>adopte</w:t>
            </w:r>
            <w:r w:rsidRPr="008B3BC4">
              <w:rPr>
                <w:rFonts w:ascii="Times New Roman" w:hAnsi="Times New Roman" w:cs="Times New Roman"/>
                <w:sz w:val="20"/>
                <w:szCs w:val="20"/>
              </w:rPr>
              <w:t xml:space="preserve"> une</w:t>
            </w:r>
            <w:r>
              <w:rPr>
                <w:rFonts w:ascii="Times New Roman" w:hAnsi="Times New Roman" w:cs="Times New Roman"/>
                <w:sz w:val="20"/>
                <w:szCs w:val="20"/>
              </w:rPr>
              <w:t xml:space="preserve"> « juste » proximité</w:t>
            </w:r>
            <w:r w:rsidRPr="008B3BC4">
              <w:rPr>
                <w:rFonts w:ascii="Times New Roman" w:hAnsi="Times New Roman" w:cs="Times New Roman"/>
                <w:sz w:val="20"/>
                <w:szCs w:val="20"/>
              </w:rPr>
              <w:t xml:space="preserve"> relationnelle professionnelle</w:t>
            </w:r>
            <w:r>
              <w:rPr>
                <w:rFonts w:ascii="Times New Roman" w:hAnsi="Times New Roman" w:cs="Times New Roman"/>
                <w:sz w:val="20"/>
                <w:szCs w:val="20"/>
              </w:rPr>
              <w:t> :</w:t>
            </w:r>
          </w:p>
          <w:p w14:paraId="258AF7D2" w14:textId="1A5D8E78" w:rsidR="00294C8C" w:rsidRPr="008B3BC4" w:rsidRDefault="00294C8C" w:rsidP="00E96B8C">
            <w:pPr>
              <w:rPr>
                <w:rFonts w:ascii="Times New Roman" w:hAnsi="Times New Roman" w:cs="Times New Roman"/>
                <w:sz w:val="20"/>
                <w:szCs w:val="20"/>
              </w:rPr>
            </w:pPr>
            <w:proofErr w:type="gramStart"/>
            <w:r w:rsidRPr="008B3BC4">
              <w:rPr>
                <w:rFonts w:ascii="Times New Roman" w:hAnsi="Times New Roman" w:cs="Times New Roman"/>
                <w:sz w:val="20"/>
                <w:szCs w:val="20"/>
              </w:rPr>
              <w:t>n’entre</w:t>
            </w:r>
            <w:proofErr w:type="gramEnd"/>
            <w:r w:rsidRPr="008B3BC4">
              <w:rPr>
                <w:rFonts w:ascii="Times New Roman" w:hAnsi="Times New Roman" w:cs="Times New Roman"/>
                <w:sz w:val="20"/>
                <w:szCs w:val="20"/>
              </w:rPr>
              <w:t xml:space="preserve"> pas en collusion avec le vécu de l’autre et utilise un ton </w:t>
            </w:r>
            <w:r>
              <w:rPr>
                <w:rFonts w:ascii="Times New Roman" w:hAnsi="Times New Roman" w:cs="Times New Roman"/>
                <w:sz w:val="20"/>
                <w:szCs w:val="20"/>
              </w:rPr>
              <w:t xml:space="preserve">facilitant l’échange en contexte d’entretien de recherche. </w:t>
            </w:r>
            <w:r w:rsidRPr="008B3BC4">
              <w:rPr>
                <w:rFonts w:ascii="Times New Roman" w:hAnsi="Times New Roman" w:cs="Times New Roman"/>
                <w:sz w:val="20"/>
                <w:szCs w:val="20"/>
              </w:rPr>
              <w:t xml:space="preserve">Cette </w:t>
            </w:r>
            <w:r>
              <w:rPr>
                <w:rFonts w:ascii="Times New Roman" w:hAnsi="Times New Roman" w:cs="Times New Roman"/>
                <w:sz w:val="20"/>
                <w:szCs w:val="20"/>
              </w:rPr>
              <w:t>« juste » proximité</w:t>
            </w:r>
            <w:r w:rsidRPr="008B3BC4">
              <w:rPr>
                <w:rFonts w:ascii="Times New Roman" w:hAnsi="Times New Roman" w:cs="Times New Roman"/>
                <w:sz w:val="20"/>
                <w:szCs w:val="20"/>
              </w:rPr>
              <w:t xml:space="preserve"> se maintient au fil de l’entretien.</w:t>
            </w:r>
          </w:p>
        </w:tc>
      </w:tr>
      <w:tr w:rsidR="00294C8C" w:rsidRPr="008B3BC4" w14:paraId="1116D378" w14:textId="77777777" w:rsidTr="00E96B8C">
        <w:tc>
          <w:tcPr>
            <w:tcW w:w="2500" w:type="dxa"/>
          </w:tcPr>
          <w:p w14:paraId="68A0AA3D" w14:textId="77777777" w:rsidR="00294C8C" w:rsidRPr="008B3BC4" w:rsidRDefault="00294C8C" w:rsidP="00E96B8C">
            <w:pPr>
              <w:rPr>
                <w:rFonts w:ascii="Times New Roman" w:hAnsi="Times New Roman" w:cs="Times New Roman"/>
                <w:b/>
                <w:bCs/>
                <w:sz w:val="20"/>
                <w:szCs w:val="20"/>
              </w:rPr>
            </w:pPr>
            <w:r w:rsidRPr="008B3BC4">
              <w:rPr>
                <w:rFonts w:ascii="Times New Roman" w:hAnsi="Times New Roman" w:cs="Times New Roman"/>
                <w:b/>
                <w:bCs/>
                <w:sz w:val="20"/>
                <w:szCs w:val="20"/>
              </w:rPr>
              <w:lastRenderedPageBreak/>
              <w:t>Capacité d’écoute et justesse des interventions</w:t>
            </w:r>
          </w:p>
        </w:tc>
        <w:tc>
          <w:tcPr>
            <w:tcW w:w="1750" w:type="dxa"/>
          </w:tcPr>
          <w:p w14:paraId="76AFCA43"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est en mesure d’entendre le vécu de la personne interrogée et d</w:t>
            </w:r>
            <w:r>
              <w:rPr>
                <w:rFonts w:ascii="Times New Roman" w:hAnsi="Times New Roman" w:cs="Times New Roman"/>
                <w:sz w:val="20"/>
                <w:szCs w:val="20"/>
              </w:rPr>
              <w:t>’utiliser ce vécu pour faire progresser l’entrevue.</w:t>
            </w:r>
            <w:r w:rsidRPr="008B3BC4">
              <w:rPr>
                <w:rFonts w:ascii="Times New Roman" w:hAnsi="Times New Roman" w:cs="Times New Roman"/>
                <w:sz w:val="20"/>
                <w:szCs w:val="20"/>
              </w:rPr>
              <w:t xml:space="preserve"> Elle suit la personne interrogée tout en ayant en tête son guide d’entrevue.</w:t>
            </w:r>
          </w:p>
          <w:p w14:paraId="50EF5FF4" w14:textId="77777777" w:rsidR="00294C8C" w:rsidRPr="008B3BC4" w:rsidRDefault="00294C8C" w:rsidP="00E96B8C">
            <w:pPr>
              <w:rPr>
                <w:rFonts w:ascii="Times New Roman" w:hAnsi="Times New Roman" w:cs="Times New Roman"/>
                <w:sz w:val="20"/>
                <w:szCs w:val="20"/>
              </w:rPr>
            </w:pPr>
          </w:p>
        </w:tc>
        <w:tc>
          <w:tcPr>
            <w:tcW w:w="1715" w:type="dxa"/>
            <w:gridSpan w:val="2"/>
          </w:tcPr>
          <w:p w14:paraId="0A40F7F9"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Les interventions de 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(écho</w:t>
            </w:r>
            <w:r w:rsidRPr="008B3BC4">
              <w:rPr>
                <w:rStyle w:val="Appelnotedebasdep"/>
                <w:rFonts w:ascii="Times New Roman" w:hAnsi="Times New Roman" w:cs="Times New Roman"/>
                <w:sz w:val="20"/>
                <w:szCs w:val="20"/>
              </w:rPr>
              <w:footnoteReference w:id="1"/>
            </w:r>
            <w:r w:rsidRPr="008B3BC4">
              <w:rPr>
                <w:rFonts w:ascii="Times New Roman" w:hAnsi="Times New Roman" w:cs="Times New Roman"/>
                <w:sz w:val="20"/>
                <w:szCs w:val="20"/>
              </w:rPr>
              <w:t>, reflet</w:t>
            </w:r>
            <w:r w:rsidRPr="008B3BC4">
              <w:rPr>
                <w:rStyle w:val="Appelnotedebasdep"/>
                <w:rFonts w:ascii="Times New Roman" w:hAnsi="Times New Roman" w:cs="Times New Roman"/>
                <w:sz w:val="20"/>
                <w:szCs w:val="20"/>
              </w:rPr>
              <w:footnoteReference w:id="2"/>
            </w:r>
            <w:r w:rsidRPr="008B3BC4">
              <w:rPr>
                <w:rFonts w:ascii="Times New Roman" w:hAnsi="Times New Roman" w:cs="Times New Roman"/>
                <w:sz w:val="20"/>
                <w:szCs w:val="20"/>
              </w:rPr>
              <w:t>, clarification</w:t>
            </w:r>
            <w:r w:rsidRPr="008B3BC4">
              <w:rPr>
                <w:rStyle w:val="Appelnotedebasdep"/>
                <w:rFonts w:ascii="Times New Roman" w:hAnsi="Times New Roman" w:cs="Times New Roman"/>
                <w:sz w:val="20"/>
                <w:szCs w:val="20"/>
              </w:rPr>
              <w:footnoteReference w:id="3"/>
            </w:r>
            <w:r w:rsidRPr="008B3BC4">
              <w:rPr>
                <w:rFonts w:ascii="Times New Roman" w:hAnsi="Times New Roman" w:cs="Times New Roman"/>
                <w:sz w:val="20"/>
                <w:szCs w:val="20"/>
              </w:rPr>
              <w:t>, recentrage</w:t>
            </w:r>
            <w:r w:rsidRPr="008B3BC4">
              <w:rPr>
                <w:rStyle w:val="Appelnotedebasdep"/>
                <w:rFonts w:ascii="Times New Roman" w:hAnsi="Times New Roman" w:cs="Times New Roman"/>
                <w:sz w:val="20"/>
                <w:szCs w:val="20"/>
              </w:rPr>
              <w:footnoteReference w:id="4"/>
            </w:r>
            <w:r w:rsidRPr="008B3BC4">
              <w:rPr>
                <w:rFonts w:ascii="Times New Roman" w:hAnsi="Times New Roman" w:cs="Times New Roman"/>
                <w:sz w:val="20"/>
                <w:szCs w:val="20"/>
              </w:rPr>
              <w:t>, point</w:t>
            </w:r>
            <w:r w:rsidRPr="008B3BC4">
              <w:rPr>
                <w:rStyle w:val="Appelnotedebasdep"/>
                <w:rFonts w:ascii="Times New Roman" w:hAnsi="Times New Roman" w:cs="Times New Roman"/>
                <w:sz w:val="20"/>
                <w:szCs w:val="20"/>
              </w:rPr>
              <w:footnoteReference w:id="5"/>
            </w:r>
            <w:r w:rsidRPr="008B3BC4">
              <w:rPr>
                <w:rFonts w:ascii="Times New Roman" w:hAnsi="Times New Roman" w:cs="Times New Roman"/>
                <w:sz w:val="20"/>
                <w:szCs w:val="20"/>
              </w:rPr>
              <w:t>, synthèse</w:t>
            </w:r>
            <w:r w:rsidRPr="008B3BC4">
              <w:rPr>
                <w:rStyle w:val="Appelnotedebasdep"/>
                <w:rFonts w:ascii="Times New Roman" w:hAnsi="Times New Roman" w:cs="Times New Roman"/>
                <w:sz w:val="20"/>
                <w:szCs w:val="20"/>
              </w:rPr>
              <w:footnoteReference w:id="6"/>
            </w:r>
            <w:r w:rsidRPr="008B3BC4">
              <w:rPr>
                <w:rFonts w:ascii="Times New Roman" w:hAnsi="Times New Roman" w:cs="Times New Roman"/>
                <w:sz w:val="20"/>
                <w:szCs w:val="20"/>
              </w:rPr>
              <w:t>) sont majoritairement en décalage avec les propos</w:t>
            </w:r>
            <w:r>
              <w:rPr>
                <w:rFonts w:ascii="Times New Roman" w:hAnsi="Times New Roman" w:cs="Times New Roman"/>
                <w:sz w:val="20"/>
                <w:szCs w:val="20"/>
              </w:rPr>
              <w:t xml:space="preserve"> / vécu</w:t>
            </w:r>
            <w:r w:rsidRPr="008B3BC4">
              <w:rPr>
                <w:rFonts w:ascii="Times New Roman" w:hAnsi="Times New Roman" w:cs="Times New Roman"/>
                <w:sz w:val="20"/>
                <w:szCs w:val="20"/>
              </w:rPr>
              <w:t xml:space="preserve"> de la personne interrogée</w:t>
            </w:r>
          </w:p>
        </w:tc>
        <w:tc>
          <w:tcPr>
            <w:tcW w:w="1868" w:type="dxa"/>
          </w:tcPr>
          <w:p w14:paraId="7975C73F"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Les interventions de 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(écho, reflet, clarification, recentrage, point, synthèse) sont parfois liées aux propos de la personnes interrogées, et parfois non.</w:t>
            </w:r>
          </w:p>
        </w:tc>
        <w:tc>
          <w:tcPr>
            <w:tcW w:w="1519" w:type="dxa"/>
          </w:tcPr>
          <w:p w14:paraId="3669BA24"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Les interventions de 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(écho, reflet, clarification, recentrage, point, synthèse) sont liées aux propos de la personne interrogée</w:t>
            </w:r>
          </w:p>
        </w:tc>
      </w:tr>
      <w:tr w:rsidR="00294C8C" w:rsidRPr="008B3BC4" w14:paraId="5BDCCD11" w14:textId="77777777" w:rsidTr="00E96B8C">
        <w:tc>
          <w:tcPr>
            <w:tcW w:w="2500" w:type="dxa"/>
          </w:tcPr>
          <w:p w14:paraId="33BB54A6" w14:textId="77777777" w:rsidR="00294C8C" w:rsidRPr="008B3BC4" w:rsidRDefault="00294C8C" w:rsidP="00E96B8C">
            <w:pPr>
              <w:rPr>
                <w:rFonts w:ascii="Times New Roman" w:hAnsi="Times New Roman" w:cs="Times New Roman"/>
                <w:b/>
                <w:bCs/>
                <w:sz w:val="20"/>
                <w:szCs w:val="20"/>
              </w:rPr>
            </w:pPr>
            <w:r w:rsidRPr="008B3BC4">
              <w:rPr>
                <w:rFonts w:ascii="Times New Roman" w:hAnsi="Times New Roman" w:cs="Times New Roman"/>
                <w:b/>
                <w:bCs/>
                <w:sz w:val="20"/>
                <w:szCs w:val="20"/>
              </w:rPr>
              <w:t xml:space="preserve">Exploration du vécu personnel </w:t>
            </w:r>
            <w:r>
              <w:rPr>
                <w:rFonts w:ascii="Times New Roman" w:hAnsi="Times New Roman" w:cs="Times New Roman"/>
                <w:b/>
                <w:bCs/>
                <w:sz w:val="20"/>
                <w:szCs w:val="20"/>
              </w:rPr>
              <w:t xml:space="preserve">de la personne interrogée dans le </w:t>
            </w:r>
            <w:r w:rsidRPr="008B3BC4">
              <w:rPr>
                <w:rFonts w:ascii="Times New Roman" w:hAnsi="Times New Roman" w:cs="Times New Roman"/>
                <w:b/>
                <w:bCs/>
                <w:sz w:val="20"/>
                <w:szCs w:val="20"/>
              </w:rPr>
              <w:t>respect des limites de la personne interrogée</w:t>
            </w:r>
          </w:p>
        </w:tc>
        <w:tc>
          <w:tcPr>
            <w:tcW w:w="1750" w:type="dxa"/>
          </w:tcPr>
          <w:p w14:paraId="34AB24AB"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r w:rsidRPr="008B3BC4">
              <w:rPr>
                <w:rFonts w:ascii="Times New Roman" w:hAnsi="Times New Roman" w:cs="Times New Roman"/>
                <w:sz w:val="20"/>
                <w:szCs w:val="20"/>
              </w:rPr>
              <w:t xml:space="preserve">étudiante </w:t>
            </w:r>
            <w:r>
              <w:rPr>
                <w:rFonts w:ascii="Times New Roman" w:hAnsi="Times New Roman" w:cs="Times New Roman"/>
                <w:sz w:val="20"/>
                <w:szCs w:val="20"/>
              </w:rPr>
              <w:t xml:space="preserve">questionne </w:t>
            </w:r>
            <w:r w:rsidRPr="008B3BC4">
              <w:rPr>
                <w:rFonts w:ascii="Times New Roman" w:hAnsi="Times New Roman" w:cs="Times New Roman"/>
                <w:sz w:val="20"/>
                <w:szCs w:val="20"/>
              </w:rPr>
              <w:t>la personne interrogée sur son vécu personnel tout en respectant ses limites</w:t>
            </w:r>
          </w:p>
        </w:tc>
        <w:tc>
          <w:tcPr>
            <w:tcW w:w="1715" w:type="dxa"/>
            <w:gridSpan w:val="2"/>
          </w:tcPr>
          <w:p w14:paraId="24AA8F16"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ne questionne pas la personne interrogée sur son vécu (elle reste dans les registres des gestes et des actions) ET/OU ne respecte pas les limites de la personne interrogée d’aborder un contenu alors que cela lui est explicitement signifié</w:t>
            </w:r>
          </w:p>
        </w:tc>
        <w:tc>
          <w:tcPr>
            <w:tcW w:w="1868" w:type="dxa"/>
          </w:tcPr>
          <w:p w14:paraId="3E400619"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reste parfois au niveau des gestes et des actions et ne saisi</w:t>
            </w:r>
            <w:r>
              <w:rPr>
                <w:rFonts w:ascii="Times New Roman" w:hAnsi="Times New Roman" w:cs="Times New Roman"/>
                <w:sz w:val="20"/>
                <w:szCs w:val="20"/>
              </w:rPr>
              <w:t>t</w:t>
            </w:r>
            <w:r w:rsidRPr="008B3BC4">
              <w:rPr>
                <w:rFonts w:ascii="Times New Roman" w:hAnsi="Times New Roman" w:cs="Times New Roman"/>
                <w:sz w:val="20"/>
                <w:szCs w:val="20"/>
              </w:rPr>
              <w:t xml:space="preserve"> pas toutes les opportunités pour explorer le vécu personnel ET/OU fait parfois preuve de certaines transgressions des limites de la personne interrogée que ce soit lorsque cela lui est explicitement signifié ou lorsqu’elle le </w:t>
            </w:r>
            <w:r>
              <w:rPr>
                <w:rFonts w:ascii="Times New Roman" w:hAnsi="Times New Roman" w:cs="Times New Roman"/>
                <w:sz w:val="20"/>
                <w:szCs w:val="20"/>
              </w:rPr>
              <w:t>perçoit</w:t>
            </w:r>
            <w:r w:rsidRPr="008B3BC4">
              <w:rPr>
                <w:rFonts w:ascii="Times New Roman" w:hAnsi="Times New Roman" w:cs="Times New Roman"/>
                <w:sz w:val="20"/>
                <w:szCs w:val="20"/>
              </w:rPr>
              <w:t>.</w:t>
            </w:r>
          </w:p>
          <w:p w14:paraId="3936D562" w14:textId="77777777" w:rsidR="00294C8C" w:rsidRPr="008B3BC4" w:rsidRDefault="00294C8C" w:rsidP="00E96B8C">
            <w:pPr>
              <w:rPr>
                <w:rFonts w:ascii="Times New Roman" w:hAnsi="Times New Roman" w:cs="Times New Roman"/>
                <w:sz w:val="20"/>
                <w:szCs w:val="20"/>
              </w:rPr>
            </w:pPr>
          </w:p>
        </w:tc>
        <w:tc>
          <w:tcPr>
            <w:tcW w:w="1519" w:type="dxa"/>
          </w:tcPr>
          <w:p w14:paraId="07A4E473"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questionne la personne interrogée sur son vécu (vécu subjectif, affects, etc.) </w:t>
            </w:r>
            <w:r>
              <w:rPr>
                <w:rFonts w:ascii="Times New Roman" w:hAnsi="Times New Roman" w:cs="Times New Roman"/>
                <w:sz w:val="20"/>
                <w:szCs w:val="20"/>
              </w:rPr>
              <w:t xml:space="preserve">ET </w:t>
            </w:r>
            <w:r w:rsidRPr="008B3BC4">
              <w:rPr>
                <w:rFonts w:ascii="Times New Roman" w:hAnsi="Times New Roman" w:cs="Times New Roman"/>
                <w:sz w:val="20"/>
                <w:szCs w:val="20"/>
              </w:rPr>
              <w:t xml:space="preserve">respecte les limites à la fois lorsque cela lui est signifié explicitement ou lorsqu’elle le </w:t>
            </w:r>
            <w:r>
              <w:rPr>
                <w:rFonts w:ascii="Times New Roman" w:hAnsi="Times New Roman" w:cs="Times New Roman"/>
                <w:sz w:val="20"/>
                <w:szCs w:val="20"/>
              </w:rPr>
              <w:t>perçoit</w:t>
            </w:r>
            <w:r w:rsidRPr="008B3BC4">
              <w:rPr>
                <w:rFonts w:ascii="Times New Roman" w:hAnsi="Times New Roman" w:cs="Times New Roman"/>
                <w:sz w:val="20"/>
                <w:szCs w:val="20"/>
              </w:rPr>
              <w:t>.</w:t>
            </w:r>
          </w:p>
        </w:tc>
      </w:tr>
      <w:tr w:rsidR="00294C8C" w:rsidRPr="008B3BC4" w14:paraId="75D59D88" w14:textId="77777777" w:rsidTr="00E96B8C">
        <w:tc>
          <w:tcPr>
            <w:tcW w:w="2500" w:type="dxa"/>
          </w:tcPr>
          <w:p w14:paraId="40B3F558" w14:textId="77777777" w:rsidR="00294C8C" w:rsidRPr="008B3BC4" w:rsidRDefault="00294C8C" w:rsidP="00E96B8C">
            <w:pPr>
              <w:rPr>
                <w:rFonts w:ascii="Times New Roman" w:hAnsi="Times New Roman" w:cs="Times New Roman"/>
                <w:b/>
                <w:bCs/>
                <w:sz w:val="20"/>
                <w:szCs w:val="20"/>
              </w:rPr>
            </w:pPr>
            <w:r w:rsidRPr="008B3BC4">
              <w:rPr>
                <w:rFonts w:ascii="Times New Roman" w:hAnsi="Times New Roman" w:cs="Times New Roman"/>
                <w:b/>
                <w:bCs/>
                <w:sz w:val="20"/>
                <w:szCs w:val="20"/>
              </w:rPr>
              <w:t>Accueil inconditionnel des propos de la personne interrogée</w:t>
            </w:r>
          </w:p>
        </w:tc>
        <w:tc>
          <w:tcPr>
            <w:tcW w:w="1750" w:type="dxa"/>
          </w:tcPr>
          <w:p w14:paraId="52D80796"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accueille les propos de la personne interrogée (</w:t>
            </w:r>
            <w:r>
              <w:rPr>
                <w:rFonts w:ascii="Times New Roman" w:hAnsi="Times New Roman" w:cs="Times New Roman"/>
                <w:sz w:val="20"/>
                <w:szCs w:val="20"/>
              </w:rPr>
              <w:t xml:space="preserve">ses opinions, </w:t>
            </w:r>
            <w:r w:rsidRPr="008B3BC4">
              <w:rPr>
                <w:rFonts w:ascii="Times New Roman" w:hAnsi="Times New Roman" w:cs="Times New Roman"/>
                <w:sz w:val="20"/>
                <w:szCs w:val="20"/>
              </w:rPr>
              <w:t>son vécu), sans jugement, ni doute quant à sa véracité</w:t>
            </w:r>
          </w:p>
        </w:tc>
        <w:tc>
          <w:tcPr>
            <w:tcW w:w="1715" w:type="dxa"/>
            <w:gridSpan w:val="2"/>
          </w:tcPr>
          <w:p w14:paraId="44A7DE6F" w14:textId="77777777" w:rsidR="00294C8C" w:rsidRDefault="00294C8C" w:rsidP="00E96B8C">
            <w:pPr>
              <w:rPr>
                <w:rFonts w:ascii="Times New Roman" w:hAnsi="Times New Roman" w:cs="Times New Roman"/>
                <w:sz w:val="20"/>
                <w:szCs w:val="20"/>
              </w:rPr>
            </w:pP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remet en question </w:t>
            </w:r>
            <w:r>
              <w:rPr>
                <w:rFonts w:ascii="Times New Roman" w:hAnsi="Times New Roman" w:cs="Times New Roman"/>
                <w:sz w:val="20"/>
                <w:szCs w:val="20"/>
              </w:rPr>
              <w:t>d</w:t>
            </w:r>
            <w:r w:rsidRPr="008B3BC4">
              <w:rPr>
                <w:rFonts w:ascii="Times New Roman" w:hAnsi="Times New Roman" w:cs="Times New Roman"/>
                <w:sz w:val="20"/>
                <w:szCs w:val="20"/>
              </w:rPr>
              <w:t>e</w:t>
            </w:r>
            <w:r>
              <w:rPr>
                <w:rFonts w:ascii="Times New Roman" w:hAnsi="Times New Roman" w:cs="Times New Roman"/>
                <w:sz w:val="20"/>
                <w:szCs w:val="20"/>
              </w:rPr>
              <w:t>s opinions ou le</w:t>
            </w:r>
            <w:r w:rsidRPr="008B3BC4">
              <w:rPr>
                <w:rFonts w:ascii="Times New Roman" w:hAnsi="Times New Roman" w:cs="Times New Roman"/>
                <w:sz w:val="20"/>
                <w:szCs w:val="20"/>
              </w:rPr>
              <w:t xml:space="preserve"> vécu de la personne interrogée, porte un jugement sur</w:t>
            </w:r>
            <w:r>
              <w:rPr>
                <w:rFonts w:ascii="Times New Roman" w:hAnsi="Times New Roman" w:cs="Times New Roman"/>
                <w:sz w:val="20"/>
                <w:szCs w:val="20"/>
              </w:rPr>
              <w:t xml:space="preserve"> certaines opinions ou sur le vécu</w:t>
            </w:r>
            <w:r w:rsidRPr="008B3BC4">
              <w:rPr>
                <w:rFonts w:ascii="Times New Roman" w:hAnsi="Times New Roman" w:cs="Times New Roman"/>
                <w:sz w:val="20"/>
                <w:szCs w:val="20"/>
              </w:rPr>
              <w:t xml:space="preserve">, ou laisse entendre qu’il n’est pas légitime (que la </w:t>
            </w:r>
            <w:r w:rsidRPr="008B3BC4">
              <w:rPr>
                <w:rFonts w:ascii="Times New Roman" w:hAnsi="Times New Roman" w:cs="Times New Roman"/>
                <w:sz w:val="20"/>
                <w:szCs w:val="20"/>
              </w:rPr>
              <w:lastRenderedPageBreak/>
              <w:t>personne n’aurait pas à vivre les choses de cette manière)</w:t>
            </w:r>
          </w:p>
          <w:p w14:paraId="770D131A" w14:textId="77777777" w:rsidR="00294C8C" w:rsidRPr="008B3BC4" w:rsidRDefault="00294C8C" w:rsidP="00E96B8C">
            <w:pPr>
              <w:rPr>
                <w:rFonts w:ascii="Times New Roman" w:hAnsi="Times New Roman" w:cs="Times New Roman"/>
                <w:sz w:val="20"/>
                <w:szCs w:val="20"/>
              </w:rPr>
            </w:pPr>
          </w:p>
        </w:tc>
        <w:tc>
          <w:tcPr>
            <w:tcW w:w="1868" w:type="dxa"/>
          </w:tcPr>
          <w:p w14:paraId="4BA2B0EC"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lastRenderedPageBreak/>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accepte parfois le vécu de la personne interrogée comme vrai, légitime et sans jugement. </w:t>
            </w:r>
            <w:r>
              <w:rPr>
                <w:rFonts w:ascii="Times New Roman" w:hAnsi="Times New Roman" w:cs="Times New Roman"/>
                <w:sz w:val="20"/>
                <w:szCs w:val="20"/>
              </w:rPr>
              <w:t xml:space="preserve">Exceptionnellement, </w:t>
            </w:r>
            <w:r w:rsidRPr="008B3BC4">
              <w:rPr>
                <w:rFonts w:ascii="Times New Roman" w:hAnsi="Times New Roman" w:cs="Times New Roman"/>
                <w:sz w:val="20"/>
                <w:szCs w:val="20"/>
              </w:rPr>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pose un jugement sur </w:t>
            </w:r>
            <w:r>
              <w:rPr>
                <w:rFonts w:ascii="Times New Roman" w:hAnsi="Times New Roman" w:cs="Times New Roman"/>
                <w:sz w:val="20"/>
                <w:szCs w:val="20"/>
              </w:rPr>
              <w:t>d</w:t>
            </w:r>
            <w:r w:rsidRPr="008B3BC4">
              <w:rPr>
                <w:rFonts w:ascii="Times New Roman" w:hAnsi="Times New Roman" w:cs="Times New Roman"/>
                <w:sz w:val="20"/>
                <w:szCs w:val="20"/>
              </w:rPr>
              <w:t>e</w:t>
            </w:r>
            <w:r>
              <w:rPr>
                <w:rFonts w:ascii="Times New Roman" w:hAnsi="Times New Roman" w:cs="Times New Roman"/>
                <w:sz w:val="20"/>
                <w:szCs w:val="20"/>
              </w:rPr>
              <w:t>s opinions ou sur le</w:t>
            </w:r>
            <w:r w:rsidRPr="008B3BC4">
              <w:rPr>
                <w:rFonts w:ascii="Times New Roman" w:hAnsi="Times New Roman" w:cs="Times New Roman"/>
                <w:sz w:val="20"/>
                <w:szCs w:val="20"/>
              </w:rPr>
              <w:t xml:space="preserve"> vécu, ou laisse </w:t>
            </w:r>
            <w:r w:rsidRPr="008B3BC4">
              <w:rPr>
                <w:rFonts w:ascii="Times New Roman" w:hAnsi="Times New Roman" w:cs="Times New Roman"/>
                <w:sz w:val="20"/>
                <w:szCs w:val="20"/>
              </w:rPr>
              <w:lastRenderedPageBreak/>
              <w:t>entendre qu’il n'est pas légitime.</w:t>
            </w:r>
          </w:p>
        </w:tc>
        <w:tc>
          <w:tcPr>
            <w:tcW w:w="1519" w:type="dxa"/>
          </w:tcPr>
          <w:p w14:paraId="3B6A3DE7" w14:textId="77777777" w:rsidR="00294C8C" w:rsidRPr="008B3BC4" w:rsidRDefault="00294C8C" w:rsidP="00E96B8C">
            <w:pPr>
              <w:rPr>
                <w:rFonts w:ascii="Times New Roman" w:hAnsi="Times New Roman" w:cs="Times New Roman"/>
                <w:sz w:val="20"/>
                <w:szCs w:val="20"/>
              </w:rPr>
            </w:pPr>
            <w:r w:rsidRPr="008B3BC4">
              <w:rPr>
                <w:rFonts w:ascii="Times New Roman" w:hAnsi="Times New Roman" w:cs="Times New Roman"/>
                <w:sz w:val="20"/>
                <w:szCs w:val="20"/>
              </w:rPr>
              <w:lastRenderedPageBreak/>
              <w:t>L</w:t>
            </w:r>
            <w:r>
              <w:rPr>
                <w:rFonts w:ascii="Times New Roman" w:hAnsi="Times New Roman" w:cs="Times New Roman"/>
                <w:sz w:val="20"/>
                <w:szCs w:val="20"/>
              </w:rPr>
              <w:t>’</w:t>
            </w:r>
            <w:proofErr w:type="spellStart"/>
            <w:r w:rsidRPr="008B3BC4">
              <w:rPr>
                <w:rFonts w:ascii="Times New Roman" w:hAnsi="Times New Roman" w:cs="Times New Roman"/>
                <w:sz w:val="20"/>
                <w:szCs w:val="20"/>
              </w:rPr>
              <w:t>étudiant</w:t>
            </w:r>
            <w:r>
              <w:rPr>
                <w:rFonts w:ascii="Times New Roman" w:hAnsi="Times New Roman" w:cs="Times New Roman"/>
                <w:sz w:val="20"/>
                <w:szCs w:val="20"/>
              </w:rPr>
              <w:t>-</w:t>
            </w:r>
            <w:r w:rsidRPr="008B3BC4">
              <w:rPr>
                <w:rFonts w:ascii="Times New Roman" w:hAnsi="Times New Roman" w:cs="Times New Roman"/>
                <w:sz w:val="20"/>
                <w:szCs w:val="20"/>
              </w:rPr>
              <w:t>e</w:t>
            </w:r>
            <w:proofErr w:type="spellEnd"/>
            <w:r w:rsidRPr="008B3BC4">
              <w:rPr>
                <w:rFonts w:ascii="Times New Roman" w:hAnsi="Times New Roman" w:cs="Times New Roman"/>
                <w:sz w:val="20"/>
                <w:szCs w:val="20"/>
              </w:rPr>
              <w:t xml:space="preserve"> accepte </w:t>
            </w:r>
            <w:r>
              <w:rPr>
                <w:rFonts w:ascii="Times New Roman" w:hAnsi="Times New Roman" w:cs="Times New Roman"/>
                <w:sz w:val="20"/>
                <w:szCs w:val="20"/>
              </w:rPr>
              <w:t xml:space="preserve">les opinions et </w:t>
            </w:r>
            <w:r w:rsidRPr="008B3BC4">
              <w:rPr>
                <w:rFonts w:ascii="Times New Roman" w:hAnsi="Times New Roman" w:cs="Times New Roman"/>
                <w:sz w:val="20"/>
                <w:szCs w:val="20"/>
              </w:rPr>
              <w:t>le vécu de la personne interrogée comme étant vrai et légitime et n’y pose aucun jugement.</w:t>
            </w:r>
          </w:p>
        </w:tc>
      </w:tr>
      <w:tr w:rsidR="00294C8C" w:rsidRPr="008B3BC4" w14:paraId="472935F8" w14:textId="77777777" w:rsidTr="00E96B8C">
        <w:tc>
          <w:tcPr>
            <w:tcW w:w="9352" w:type="dxa"/>
            <w:gridSpan w:val="6"/>
            <w:shd w:val="clear" w:color="auto" w:fill="F2F2F2" w:themeFill="background1" w:themeFillShade="F2"/>
          </w:tcPr>
          <w:p w14:paraId="1F0969B6" w14:textId="77777777" w:rsidR="00294C8C" w:rsidRPr="008B3BC4" w:rsidRDefault="00294C8C" w:rsidP="00E96B8C">
            <w:pPr>
              <w:jc w:val="both"/>
              <w:rPr>
                <w:rFonts w:ascii="Times New Roman" w:hAnsi="Times New Roman" w:cs="Times New Roman"/>
                <w:sz w:val="20"/>
                <w:szCs w:val="20"/>
              </w:rPr>
            </w:pPr>
            <w:r w:rsidRPr="008B3BC4">
              <w:rPr>
                <w:rFonts w:ascii="Times New Roman" w:hAnsi="Times New Roman" w:cs="Times New Roman"/>
                <w:b/>
                <w:bCs/>
                <w:sz w:val="20"/>
                <w:szCs w:val="20"/>
              </w:rPr>
              <w:t xml:space="preserve">TOTAL : </w:t>
            </w:r>
          </w:p>
        </w:tc>
      </w:tr>
    </w:tbl>
    <w:p w14:paraId="1308568B" w14:textId="77777777" w:rsidR="00294C8C" w:rsidRDefault="00294C8C" w:rsidP="00294C8C">
      <w:pPr>
        <w:rPr>
          <w:rFonts w:ascii="Times New Roman" w:hAnsi="Times New Roman" w:cs="Times New Roman"/>
          <w:b/>
          <w:bCs/>
          <w:sz w:val="24"/>
          <w:szCs w:val="24"/>
        </w:rPr>
      </w:pPr>
    </w:p>
    <w:p w14:paraId="41ECD81B" w14:textId="77777777" w:rsidR="00294C8C" w:rsidRDefault="00294C8C" w:rsidP="00294C8C">
      <w:pPr>
        <w:rPr>
          <w:rFonts w:ascii="Times New Roman" w:hAnsi="Times New Roman" w:cs="Times New Roman"/>
          <w:b/>
          <w:bCs/>
          <w:sz w:val="24"/>
          <w:szCs w:val="24"/>
        </w:rPr>
      </w:pPr>
    </w:p>
    <w:p w14:paraId="362B53D5" w14:textId="77777777" w:rsidR="00294C8C" w:rsidRDefault="00294C8C" w:rsidP="00294C8C">
      <w:pPr>
        <w:rPr>
          <w:rFonts w:ascii="Times New Roman" w:hAnsi="Times New Roman" w:cs="Times New Roman"/>
          <w:b/>
          <w:bCs/>
          <w:sz w:val="24"/>
          <w:szCs w:val="24"/>
        </w:rPr>
      </w:pPr>
    </w:p>
    <w:p w14:paraId="373BEBEB" w14:textId="77777777" w:rsidR="00294C8C" w:rsidRDefault="00294C8C" w:rsidP="00294C8C">
      <w:pPr>
        <w:rPr>
          <w:rFonts w:ascii="Times New Roman" w:hAnsi="Times New Roman" w:cs="Times New Roman"/>
          <w:b/>
          <w:bCs/>
          <w:sz w:val="24"/>
          <w:szCs w:val="24"/>
        </w:rPr>
      </w:pPr>
    </w:p>
    <w:p w14:paraId="10D67289" w14:textId="77777777" w:rsidR="00294C8C" w:rsidRDefault="00294C8C" w:rsidP="00294C8C">
      <w:pPr>
        <w:rPr>
          <w:rFonts w:ascii="Times New Roman" w:hAnsi="Times New Roman" w:cs="Times New Roman"/>
          <w:b/>
          <w:bCs/>
          <w:sz w:val="24"/>
          <w:szCs w:val="24"/>
        </w:rPr>
      </w:pPr>
    </w:p>
    <w:p w14:paraId="0DF4B549" w14:textId="77777777" w:rsidR="00294C8C" w:rsidRDefault="00294C8C" w:rsidP="00294C8C">
      <w:pPr>
        <w:rPr>
          <w:rFonts w:ascii="Times New Roman" w:hAnsi="Times New Roman" w:cs="Times New Roman"/>
          <w:b/>
          <w:bCs/>
          <w:sz w:val="24"/>
          <w:szCs w:val="24"/>
        </w:rPr>
      </w:pPr>
    </w:p>
    <w:p w14:paraId="7FDB57E1" w14:textId="77777777" w:rsidR="00294C8C" w:rsidRDefault="00294C8C" w:rsidP="00294C8C">
      <w:pPr>
        <w:rPr>
          <w:rFonts w:ascii="Times New Roman" w:hAnsi="Times New Roman" w:cs="Times New Roman"/>
          <w:b/>
          <w:bCs/>
          <w:sz w:val="24"/>
          <w:szCs w:val="24"/>
        </w:rPr>
      </w:pPr>
    </w:p>
    <w:p w14:paraId="1CC752F1" w14:textId="77777777" w:rsidR="00294C8C" w:rsidRDefault="00294C8C" w:rsidP="00294C8C">
      <w:pPr>
        <w:rPr>
          <w:rFonts w:ascii="Times New Roman" w:hAnsi="Times New Roman" w:cs="Times New Roman"/>
          <w:b/>
          <w:bCs/>
          <w:sz w:val="24"/>
          <w:szCs w:val="24"/>
        </w:rPr>
      </w:pPr>
    </w:p>
    <w:p w14:paraId="25C5B94D" w14:textId="77777777" w:rsidR="00294C8C" w:rsidRDefault="00294C8C" w:rsidP="00294C8C">
      <w:pPr>
        <w:jc w:val="center"/>
        <w:rPr>
          <w:rFonts w:ascii="Times New Roman" w:hAnsi="Times New Roman" w:cs="Times New Roman"/>
          <w:sz w:val="24"/>
          <w:szCs w:val="24"/>
        </w:rPr>
      </w:pPr>
    </w:p>
    <w:p w14:paraId="2D6278F8" w14:textId="77777777" w:rsidR="00294C8C" w:rsidRDefault="00294C8C" w:rsidP="00294C8C">
      <w:pPr>
        <w:jc w:val="center"/>
        <w:rPr>
          <w:rFonts w:ascii="Times New Roman" w:hAnsi="Times New Roman" w:cs="Times New Roman"/>
          <w:sz w:val="24"/>
          <w:szCs w:val="24"/>
        </w:rPr>
      </w:pPr>
    </w:p>
    <w:p w14:paraId="35C78C33" w14:textId="77777777" w:rsidR="00294C8C" w:rsidRDefault="00294C8C" w:rsidP="00294C8C">
      <w:pPr>
        <w:jc w:val="center"/>
        <w:rPr>
          <w:rFonts w:ascii="Times New Roman" w:hAnsi="Times New Roman" w:cs="Times New Roman"/>
          <w:sz w:val="24"/>
          <w:szCs w:val="24"/>
        </w:rPr>
      </w:pPr>
    </w:p>
    <w:p w14:paraId="435A4CA8" w14:textId="77777777" w:rsidR="00294C8C" w:rsidRDefault="00294C8C" w:rsidP="00294C8C">
      <w:pPr>
        <w:jc w:val="center"/>
        <w:rPr>
          <w:rFonts w:ascii="Times New Roman" w:hAnsi="Times New Roman" w:cs="Times New Roman"/>
          <w:sz w:val="24"/>
          <w:szCs w:val="24"/>
        </w:rPr>
      </w:pPr>
    </w:p>
    <w:p w14:paraId="7A3B917C" w14:textId="77777777" w:rsidR="00294C8C" w:rsidRDefault="00294C8C" w:rsidP="00294C8C">
      <w:pPr>
        <w:jc w:val="center"/>
        <w:rPr>
          <w:rFonts w:ascii="Times New Roman" w:hAnsi="Times New Roman" w:cs="Times New Roman"/>
          <w:sz w:val="24"/>
          <w:szCs w:val="24"/>
        </w:rPr>
      </w:pPr>
    </w:p>
    <w:p w14:paraId="5A4934B0" w14:textId="77777777" w:rsidR="00294C8C" w:rsidRDefault="00294C8C" w:rsidP="00294C8C">
      <w:pPr>
        <w:jc w:val="center"/>
        <w:rPr>
          <w:rFonts w:ascii="Times New Roman" w:hAnsi="Times New Roman" w:cs="Times New Roman"/>
          <w:sz w:val="24"/>
          <w:szCs w:val="24"/>
        </w:rPr>
      </w:pPr>
    </w:p>
    <w:p w14:paraId="45771A7B" w14:textId="77777777" w:rsidR="00294C8C" w:rsidRDefault="00294C8C" w:rsidP="00294C8C">
      <w:pPr>
        <w:jc w:val="center"/>
        <w:rPr>
          <w:rFonts w:ascii="Times New Roman" w:hAnsi="Times New Roman" w:cs="Times New Roman"/>
          <w:sz w:val="24"/>
          <w:szCs w:val="24"/>
        </w:rPr>
      </w:pPr>
    </w:p>
    <w:p w14:paraId="053FB2A9" w14:textId="77777777" w:rsidR="00294C8C" w:rsidRDefault="00294C8C" w:rsidP="00294C8C">
      <w:pPr>
        <w:jc w:val="center"/>
        <w:rPr>
          <w:rFonts w:ascii="Times New Roman" w:hAnsi="Times New Roman" w:cs="Times New Roman"/>
          <w:sz w:val="24"/>
          <w:szCs w:val="24"/>
        </w:rPr>
      </w:pPr>
    </w:p>
    <w:p w14:paraId="77B5A5ED" w14:textId="77777777" w:rsidR="00294C8C" w:rsidRDefault="00294C8C" w:rsidP="00294C8C">
      <w:pPr>
        <w:jc w:val="center"/>
        <w:rPr>
          <w:rFonts w:ascii="Times New Roman" w:hAnsi="Times New Roman" w:cs="Times New Roman"/>
          <w:sz w:val="24"/>
          <w:szCs w:val="24"/>
        </w:rPr>
      </w:pPr>
    </w:p>
    <w:p w14:paraId="0EAB7F92" w14:textId="77777777" w:rsidR="00294C8C" w:rsidRDefault="00294C8C" w:rsidP="00294C8C">
      <w:pPr>
        <w:jc w:val="center"/>
        <w:rPr>
          <w:rFonts w:ascii="Times New Roman" w:hAnsi="Times New Roman" w:cs="Times New Roman"/>
          <w:sz w:val="24"/>
          <w:szCs w:val="24"/>
        </w:rPr>
      </w:pPr>
    </w:p>
    <w:p w14:paraId="6449AAED" w14:textId="77777777" w:rsidR="00294C8C" w:rsidRDefault="00294C8C" w:rsidP="00294C8C">
      <w:pPr>
        <w:jc w:val="center"/>
        <w:rPr>
          <w:rFonts w:ascii="Times New Roman" w:hAnsi="Times New Roman" w:cs="Times New Roman"/>
          <w:sz w:val="24"/>
          <w:szCs w:val="24"/>
        </w:rPr>
      </w:pPr>
    </w:p>
    <w:p w14:paraId="792F2A59" w14:textId="77777777" w:rsidR="00294C8C" w:rsidRDefault="00294C8C" w:rsidP="00294C8C">
      <w:pPr>
        <w:jc w:val="center"/>
        <w:rPr>
          <w:rFonts w:ascii="Times New Roman" w:hAnsi="Times New Roman" w:cs="Times New Roman"/>
          <w:sz w:val="24"/>
          <w:szCs w:val="24"/>
        </w:rPr>
      </w:pPr>
    </w:p>
    <w:p w14:paraId="217899E3" w14:textId="77777777" w:rsidR="00294C8C" w:rsidRDefault="00294C8C" w:rsidP="00294C8C">
      <w:pPr>
        <w:jc w:val="center"/>
        <w:rPr>
          <w:rFonts w:ascii="Times New Roman" w:hAnsi="Times New Roman" w:cs="Times New Roman"/>
          <w:sz w:val="24"/>
          <w:szCs w:val="24"/>
        </w:rPr>
      </w:pPr>
    </w:p>
    <w:p w14:paraId="2AB44F31" w14:textId="77777777" w:rsidR="00294C8C" w:rsidRDefault="00294C8C" w:rsidP="00294C8C">
      <w:pPr>
        <w:jc w:val="center"/>
        <w:rPr>
          <w:rFonts w:ascii="Times New Roman" w:hAnsi="Times New Roman" w:cs="Times New Roman"/>
          <w:sz w:val="24"/>
          <w:szCs w:val="24"/>
        </w:rPr>
      </w:pPr>
    </w:p>
    <w:p w14:paraId="624EC757" w14:textId="77777777" w:rsidR="00294C8C" w:rsidRDefault="00294C8C" w:rsidP="00294C8C">
      <w:pPr>
        <w:jc w:val="center"/>
        <w:rPr>
          <w:rFonts w:ascii="Times New Roman" w:hAnsi="Times New Roman" w:cs="Times New Roman"/>
          <w:sz w:val="24"/>
          <w:szCs w:val="24"/>
        </w:rPr>
      </w:pPr>
    </w:p>
    <w:p w14:paraId="03424BD2" w14:textId="77777777" w:rsidR="00294C8C" w:rsidRDefault="00294C8C" w:rsidP="00294C8C">
      <w:pPr>
        <w:jc w:val="center"/>
        <w:rPr>
          <w:rFonts w:ascii="Times New Roman" w:hAnsi="Times New Roman" w:cs="Times New Roman"/>
          <w:sz w:val="24"/>
          <w:szCs w:val="24"/>
        </w:rPr>
      </w:pPr>
    </w:p>
    <w:p w14:paraId="21636A64" w14:textId="77777777" w:rsidR="00294C8C" w:rsidRDefault="00294C8C" w:rsidP="00294C8C">
      <w:pPr>
        <w:jc w:val="center"/>
        <w:rPr>
          <w:rFonts w:ascii="Times New Roman" w:hAnsi="Times New Roman" w:cs="Times New Roman"/>
          <w:sz w:val="24"/>
          <w:szCs w:val="24"/>
        </w:rPr>
      </w:pPr>
    </w:p>
    <w:p w14:paraId="7DF55385" w14:textId="77777777" w:rsidR="00294C8C" w:rsidRDefault="00294C8C" w:rsidP="00294C8C">
      <w:pPr>
        <w:jc w:val="center"/>
        <w:rPr>
          <w:rFonts w:ascii="Times New Roman" w:hAnsi="Times New Roman" w:cs="Times New Roman"/>
          <w:sz w:val="24"/>
          <w:szCs w:val="24"/>
        </w:rPr>
      </w:pPr>
    </w:p>
    <w:p w14:paraId="47921A50" w14:textId="77777777" w:rsidR="00294C8C" w:rsidRDefault="00294C8C" w:rsidP="00294C8C">
      <w:pPr>
        <w:jc w:val="center"/>
        <w:rPr>
          <w:rFonts w:ascii="Times New Roman" w:hAnsi="Times New Roman" w:cs="Times New Roman"/>
          <w:sz w:val="24"/>
          <w:szCs w:val="24"/>
        </w:rPr>
      </w:pPr>
    </w:p>
    <w:p w14:paraId="4B0858C9" w14:textId="77777777" w:rsidR="00294C8C" w:rsidRDefault="00294C8C" w:rsidP="00294C8C">
      <w:pPr>
        <w:jc w:val="center"/>
        <w:rPr>
          <w:rFonts w:ascii="Times New Roman" w:hAnsi="Times New Roman" w:cs="Times New Roman"/>
          <w:sz w:val="24"/>
          <w:szCs w:val="24"/>
        </w:rPr>
      </w:pPr>
    </w:p>
    <w:p w14:paraId="1A42FC2D" w14:textId="77777777" w:rsidR="00294C8C" w:rsidRDefault="00294C8C" w:rsidP="00294C8C">
      <w:pPr>
        <w:jc w:val="center"/>
        <w:rPr>
          <w:rFonts w:ascii="Times New Roman" w:hAnsi="Times New Roman" w:cs="Times New Roman"/>
          <w:sz w:val="24"/>
          <w:szCs w:val="24"/>
        </w:rPr>
      </w:pPr>
    </w:p>
    <w:p w14:paraId="16D10611" w14:textId="77777777" w:rsidR="00294C8C" w:rsidRDefault="00294C8C" w:rsidP="00294C8C">
      <w:pPr>
        <w:jc w:val="center"/>
        <w:rPr>
          <w:rFonts w:ascii="Times New Roman" w:hAnsi="Times New Roman" w:cs="Times New Roman"/>
          <w:sz w:val="24"/>
          <w:szCs w:val="24"/>
        </w:rPr>
      </w:pPr>
    </w:p>
    <w:p w14:paraId="6BE28B19" w14:textId="77777777" w:rsidR="00294C8C" w:rsidRDefault="00294C8C" w:rsidP="00294C8C">
      <w:pPr>
        <w:jc w:val="center"/>
        <w:rPr>
          <w:rFonts w:ascii="Times New Roman" w:hAnsi="Times New Roman" w:cs="Times New Roman"/>
          <w:sz w:val="24"/>
          <w:szCs w:val="24"/>
        </w:rPr>
      </w:pPr>
    </w:p>
    <w:p w14:paraId="6CFF1E83" w14:textId="77777777" w:rsidR="00294C8C" w:rsidRDefault="00294C8C" w:rsidP="00294C8C">
      <w:pPr>
        <w:jc w:val="center"/>
        <w:rPr>
          <w:rFonts w:ascii="Times New Roman" w:hAnsi="Times New Roman" w:cs="Times New Roman"/>
          <w:sz w:val="24"/>
          <w:szCs w:val="24"/>
        </w:rPr>
      </w:pPr>
    </w:p>
    <w:p w14:paraId="12427F1B" w14:textId="77777777" w:rsidR="00294C8C" w:rsidRDefault="00294C8C" w:rsidP="00294C8C">
      <w:pPr>
        <w:jc w:val="center"/>
        <w:rPr>
          <w:rFonts w:ascii="Times New Roman" w:hAnsi="Times New Roman" w:cs="Times New Roman"/>
          <w:sz w:val="24"/>
          <w:szCs w:val="24"/>
        </w:rPr>
      </w:pPr>
    </w:p>
    <w:p w14:paraId="1C12D77F" w14:textId="77777777" w:rsidR="00294C8C" w:rsidRDefault="00294C8C" w:rsidP="00294C8C">
      <w:pPr>
        <w:jc w:val="center"/>
        <w:rPr>
          <w:rFonts w:ascii="Times New Roman" w:hAnsi="Times New Roman" w:cs="Times New Roman"/>
          <w:sz w:val="24"/>
          <w:szCs w:val="24"/>
        </w:rPr>
      </w:pPr>
    </w:p>
    <w:p w14:paraId="19E1EED1" w14:textId="77777777" w:rsidR="00294C8C" w:rsidRDefault="00294C8C" w:rsidP="00294C8C">
      <w:pPr>
        <w:jc w:val="center"/>
        <w:rPr>
          <w:rFonts w:ascii="Times New Roman" w:hAnsi="Times New Roman" w:cs="Times New Roman"/>
          <w:sz w:val="24"/>
          <w:szCs w:val="24"/>
        </w:rPr>
      </w:pPr>
    </w:p>
    <w:p w14:paraId="0B938CF0" w14:textId="77777777" w:rsidR="00294C8C" w:rsidRDefault="00294C8C" w:rsidP="00294C8C">
      <w:pPr>
        <w:jc w:val="center"/>
        <w:rPr>
          <w:rFonts w:ascii="Times New Roman" w:hAnsi="Times New Roman" w:cs="Times New Roman"/>
          <w:sz w:val="24"/>
          <w:szCs w:val="24"/>
        </w:rPr>
      </w:pPr>
    </w:p>
    <w:p w14:paraId="369291D4" w14:textId="77777777" w:rsidR="00294C8C" w:rsidRDefault="00294C8C" w:rsidP="00294C8C">
      <w:pPr>
        <w:jc w:val="center"/>
        <w:rPr>
          <w:rFonts w:ascii="Times New Roman" w:hAnsi="Times New Roman" w:cs="Times New Roman"/>
          <w:sz w:val="24"/>
          <w:szCs w:val="24"/>
        </w:rPr>
      </w:pPr>
    </w:p>
    <w:p w14:paraId="2FF14629" w14:textId="77777777" w:rsidR="00294C8C" w:rsidRDefault="00294C8C" w:rsidP="00294C8C">
      <w:pPr>
        <w:jc w:val="center"/>
        <w:rPr>
          <w:rFonts w:ascii="Times New Roman" w:hAnsi="Times New Roman" w:cs="Times New Roman"/>
          <w:sz w:val="24"/>
          <w:szCs w:val="24"/>
        </w:rPr>
      </w:pPr>
    </w:p>
    <w:p w14:paraId="561D6C0F" w14:textId="77777777" w:rsidR="00294C8C" w:rsidRDefault="00294C8C" w:rsidP="00294C8C">
      <w:pPr>
        <w:jc w:val="center"/>
        <w:rPr>
          <w:rFonts w:ascii="Times New Roman" w:hAnsi="Times New Roman" w:cs="Times New Roman"/>
          <w:sz w:val="24"/>
          <w:szCs w:val="24"/>
        </w:rPr>
      </w:pPr>
    </w:p>
    <w:p w14:paraId="41C75B22" w14:textId="77777777" w:rsidR="00294C8C" w:rsidRPr="00967895" w:rsidRDefault="00294C8C" w:rsidP="00294C8C">
      <w:pPr>
        <w:jc w:val="center"/>
        <w:rPr>
          <w:rFonts w:ascii="Times New Roman" w:hAnsi="Times New Roman" w:cs="Times New Roman"/>
          <w:b/>
          <w:bCs/>
          <w:sz w:val="24"/>
          <w:szCs w:val="24"/>
        </w:rPr>
      </w:pPr>
      <w:r w:rsidRPr="00967895">
        <w:rPr>
          <w:rFonts w:ascii="Times New Roman" w:hAnsi="Times New Roman" w:cs="Times New Roman"/>
          <w:b/>
          <w:bCs/>
          <w:sz w:val="24"/>
          <w:szCs w:val="24"/>
        </w:rPr>
        <w:t>Annexe A</w:t>
      </w:r>
    </w:p>
    <w:p w14:paraId="17FFFF78" w14:textId="77777777" w:rsidR="00294C8C" w:rsidRPr="00967895" w:rsidRDefault="00294C8C" w:rsidP="00294C8C">
      <w:pPr>
        <w:jc w:val="center"/>
        <w:rPr>
          <w:rFonts w:ascii="Times New Roman" w:hAnsi="Times New Roman" w:cs="Times New Roman"/>
          <w:b/>
          <w:bCs/>
          <w:sz w:val="24"/>
          <w:szCs w:val="24"/>
        </w:rPr>
      </w:pPr>
      <w:r w:rsidRPr="00967895">
        <w:rPr>
          <w:rFonts w:ascii="Times New Roman" w:hAnsi="Times New Roman" w:cs="Times New Roman"/>
          <w:b/>
          <w:bCs/>
          <w:sz w:val="24"/>
          <w:szCs w:val="24"/>
        </w:rPr>
        <w:t>Guide d’entretien semi-structuré</w:t>
      </w:r>
    </w:p>
    <w:p w14:paraId="52F86972" w14:textId="77777777" w:rsidR="00294C8C" w:rsidRDefault="00294C8C" w:rsidP="00294C8C">
      <w:pPr>
        <w:jc w:val="center"/>
        <w:rPr>
          <w:rFonts w:ascii="Times New Roman" w:hAnsi="Times New Roman" w:cs="Times New Roman"/>
          <w:sz w:val="24"/>
          <w:szCs w:val="24"/>
        </w:rPr>
      </w:pPr>
    </w:p>
    <w:p w14:paraId="1EF225DD" w14:textId="77777777" w:rsidR="00294C8C" w:rsidRDefault="00294C8C" w:rsidP="00294C8C">
      <w:pPr>
        <w:jc w:val="center"/>
        <w:rPr>
          <w:rFonts w:ascii="Times New Roman" w:hAnsi="Times New Roman" w:cs="Times New Roman"/>
          <w:sz w:val="24"/>
          <w:szCs w:val="24"/>
        </w:rPr>
      </w:pPr>
    </w:p>
    <w:p w14:paraId="4AA354E5" w14:textId="77777777" w:rsidR="00294C8C" w:rsidRDefault="00294C8C" w:rsidP="00294C8C">
      <w:pPr>
        <w:jc w:val="center"/>
        <w:rPr>
          <w:rFonts w:ascii="Times New Roman" w:hAnsi="Times New Roman" w:cs="Times New Roman"/>
          <w:sz w:val="24"/>
          <w:szCs w:val="24"/>
        </w:rPr>
      </w:pPr>
    </w:p>
    <w:p w14:paraId="76FCA536" w14:textId="77777777" w:rsidR="00294C8C" w:rsidRDefault="00294C8C" w:rsidP="00294C8C">
      <w:pPr>
        <w:jc w:val="center"/>
        <w:rPr>
          <w:rFonts w:ascii="Times New Roman" w:hAnsi="Times New Roman" w:cs="Times New Roman"/>
          <w:sz w:val="24"/>
          <w:szCs w:val="24"/>
        </w:rPr>
      </w:pPr>
    </w:p>
    <w:p w14:paraId="555B0885" w14:textId="77777777" w:rsidR="00294C8C" w:rsidRDefault="00294C8C" w:rsidP="00294C8C">
      <w:pPr>
        <w:jc w:val="center"/>
        <w:rPr>
          <w:rFonts w:ascii="Times New Roman" w:hAnsi="Times New Roman" w:cs="Times New Roman"/>
          <w:sz w:val="24"/>
          <w:szCs w:val="24"/>
        </w:rPr>
      </w:pPr>
    </w:p>
    <w:p w14:paraId="2062B28E" w14:textId="77777777" w:rsidR="00294C8C" w:rsidRDefault="00294C8C" w:rsidP="00294C8C">
      <w:pPr>
        <w:jc w:val="center"/>
        <w:rPr>
          <w:rFonts w:ascii="Times New Roman" w:hAnsi="Times New Roman" w:cs="Times New Roman"/>
          <w:sz w:val="24"/>
          <w:szCs w:val="24"/>
        </w:rPr>
      </w:pPr>
    </w:p>
    <w:p w14:paraId="0568BC12" w14:textId="77777777" w:rsidR="00294C8C" w:rsidRDefault="00294C8C" w:rsidP="00294C8C">
      <w:pPr>
        <w:jc w:val="center"/>
        <w:rPr>
          <w:rFonts w:ascii="Times New Roman" w:hAnsi="Times New Roman" w:cs="Times New Roman"/>
          <w:sz w:val="24"/>
          <w:szCs w:val="24"/>
        </w:rPr>
      </w:pPr>
    </w:p>
    <w:p w14:paraId="1E03A0C9" w14:textId="77777777" w:rsidR="00294C8C" w:rsidRDefault="00294C8C" w:rsidP="00294C8C">
      <w:pPr>
        <w:jc w:val="center"/>
        <w:rPr>
          <w:rFonts w:ascii="Times New Roman" w:hAnsi="Times New Roman" w:cs="Times New Roman"/>
          <w:sz w:val="24"/>
          <w:szCs w:val="24"/>
        </w:rPr>
      </w:pPr>
    </w:p>
    <w:p w14:paraId="0C3BF2E0" w14:textId="77777777" w:rsidR="00294C8C" w:rsidRDefault="00294C8C" w:rsidP="00294C8C">
      <w:pPr>
        <w:jc w:val="center"/>
        <w:rPr>
          <w:rFonts w:ascii="Times New Roman" w:hAnsi="Times New Roman" w:cs="Times New Roman"/>
          <w:sz w:val="24"/>
          <w:szCs w:val="24"/>
        </w:rPr>
      </w:pPr>
    </w:p>
    <w:p w14:paraId="72E12329" w14:textId="77777777" w:rsidR="00294C8C" w:rsidRPr="00D80784" w:rsidRDefault="00294C8C" w:rsidP="00294C8C">
      <w:pPr>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352"/>
      </w:tblGrid>
      <w:tr w:rsidR="00294C8C" w14:paraId="6E1D7118" w14:textId="77777777" w:rsidTr="00E96B8C">
        <w:tc>
          <w:tcPr>
            <w:tcW w:w="9352" w:type="dxa"/>
          </w:tcPr>
          <w:p w14:paraId="420EC70B" w14:textId="77777777" w:rsidR="00294C8C" w:rsidRPr="000F02E1" w:rsidRDefault="00294C8C" w:rsidP="00E96B8C">
            <w:pPr>
              <w:jc w:val="both"/>
              <w:rPr>
                <w:rFonts w:ascii="Times New Roman" w:hAnsi="Times New Roman" w:cs="Times New Roman"/>
                <w:sz w:val="24"/>
                <w:szCs w:val="24"/>
              </w:rPr>
            </w:pPr>
            <w:r w:rsidRPr="000F02E1">
              <w:rPr>
                <w:rFonts w:ascii="Times New Roman" w:hAnsi="Times New Roman" w:cs="Times New Roman"/>
                <w:b/>
                <w:bCs/>
                <w:sz w:val="24"/>
                <w:szCs w:val="24"/>
              </w:rPr>
              <w:lastRenderedPageBreak/>
              <w:t>Contexte théorique (fictif)</w:t>
            </w:r>
            <w:r w:rsidRPr="000F02E1">
              <w:rPr>
                <w:rStyle w:val="Appelnotedebasdep"/>
                <w:rFonts w:ascii="Times New Roman" w:hAnsi="Times New Roman" w:cs="Times New Roman"/>
                <w:b/>
                <w:bCs/>
                <w:sz w:val="24"/>
                <w:szCs w:val="24"/>
              </w:rPr>
              <w:footnoteReference w:id="7"/>
            </w:r>
            <w:r w:rsidRPr="000F02E1">
              <w:rPr>
                <w:rFonts w:ascii="Times New Roman" w:hAnsi="Times New Roman" w:cs="Times New Roman"/>
                <w:b/>
                <w:bCs/>
                <w:sz w:val="24"/>
                <w:szCs w:val="24"/>
              </w:rPr>
              <w:t xml:space="preserve"> : </w:t>
            </w:r>
            <w:r w:rsidRPr="000F02E1">
              <w:rPr>
                <w:rFonts w:ascii="Times New Roman" w:hAnsi="Times New Roman" w:cs="Times New Roman"/>
                <w:sz w:val="24"/>
                <w:szCs w:val="24"/>
              </w:rPr>
              <w:t xml:space="preserve">Selon la théorie de la motivation humaine, tout comportement prend son origine dans l’interaction entre l’individu (I) et son environnement (E). L’individu exerce une action sur son environnement afin de transformer son rapport actuel avec lui en une forme souhaitée (objectif visé), vécue comme plus satisfaisante. Le choix d’un programme d’étude est susceptible d’être le résultat d’une telle interaction I-E. Les études scientifiques s’intéressant aux motifs à choisir un programme d’étude en identifient 3 types : (1) l’intérêt intrinsèque pour le contenu du programme, (2) la contrainte externe, que ce </w:t>
            </w:r>
            <w:proofErr w:type="gramStart"/>
            <w:r w:rsidRPr="000F02E1">
              <w:rPr>
                <w:rFonts w:ascii="Times New Roman" w:hAnsi="Times New Roman" w:cs="Times New Roman"/>
                <w:sz w:val="24"/>
                <w:szCs w:val="24"/>
              </w:rPr>
              <w:t>soit</w:t>
            </w:r>
            <w:proofErr w:type="gramEnd"/>
            <w:r w:rsidRPr="000F02E1">
              <w:rPr>
                <w:rFonts w:ascii="Times New Roman" w:hAnsi="Times New Roman" w:cs="Times New Roman"/>
                <w:sz w:val="24"/>
                <w:szCs w:val="24"/>
              </w:rPr>
              <w:t xml:space="preserve"> les exigences parentales ou sociétales, ou le refus dans un programme souhaité, et (3) les gains potentiels ou anticipés, par exemple : opportunités de voyage, emploi, statut social, etc. La plupart de ces études utilisent un devis quantitatif et ont recours à des questionnaires comme outil de cueillette de données, ce qui laisse peu de place pour explorer le sens que donnent les individus à leur choix de programme d’étude, ainsi que le contexte de vie dans lequel il s’inscrit.</w:t>
            </w:r>
          </w:p>
          <w:p w14:paraId="4BF6C13E" w14:textId="77777777" w:rsidR="00294C8C" w:rsidRPr="000F02E1" w:rsidRDefault="00294C8C" w:rsidP="00E96B8C">
            <w:pPr>
              <w:jc w:val="both"/>
              <w:rPr>
                <w:rFonts w:ascii="Times New Roman" w:hAnsi="Times New Roman" w:cs="Times New Roman"/>
                <w:sz w:val="24"/>
                <w:szCs w:val="24"/>
              </w:rPr>
            </w:pPr>
          </w:p>
          <w:p w14:paraId="546055F8" w14:textId="77777777" w:rsidR="00294C8C" w:rsidRPr="000F02E1" w:rsidRDefault="00294C8C" w:rsidP="00E96B8C">
            <w:pPr>
              <w:jc w:val="both"/>
              <w:rPr>
                <w:rFonts w:ascii="Times New Roman" w:hAnsi="Times New Roman" w:cs="Times New Roman"/>
                <w:sz w:val="24"/>
                <w:szCs w:val="24"/>
              </w:rPr>
            </w:pPr>
            <w:r w:rsidRPr="000F02E1">
              <w:rPr>
                <w:rFonts w:ascii="Times New Roman" w:hAnsi="Times New Roman" w:cs="Times New Roman"/>
                <w:b/>
                <w:bCs/>
                <w:sz w:val="24"/>
                <w:szCs w:val="24"/>
              </w:rPr>
              <w:t xml:space="preserve">Objectif de recherche : </w:t>
            </w:r>
            <w:r w:rsidRPr="000F02E1">
              <w:rPr>
                <w:rFonts w:ascii="Times New Roman" w:hAnsi="Times New Roman" w:cs="Times New Roman"/>
                <w:sz w:val="24"/>
                <w:szCs w:val="24"/>
              </w:rPr>
              <w:t>L’objectif de recherche est donc d’explorer les motifs associés au choix du programme d’étude, en tenant compte à la fois des éléments internes et externes à l’individu.</w:t>
            </w:r>
          </w:p>
          <w:p w14:paraId="0ECEDAE5" w14:textId="77777777" w:rsidR="00294C8C" w:rsidRPr="000F02E1" w:rsidRDefault="00294C8C" w:rsidP="00E96B8C">
            <w:pPr>
              <w:jc w:val="both"/>
              <w:rPr>
                <w:rFonts w:ascii="Times New Roman" w:hAnsi="Times New Roman" w:cs="Times New Roman"/>
                <w:b/>
                <w:bCs/>
                <w:sz w:val="24"/>
                <w:szCs w:val="24"/>
              </w:rPr>
            </w:pPr>
          </w:p>
          <w:p w14:paraId="30B047D4" w14:textId="77777777" w:rsidR="00294C8C" w:rsidRPr="009D08E4" w:rsidRDefault="00294C8C" w:rsidP="00E96B8C">
            <w:pPr>
              <w:jc w:val="both"/>
              <w:rPr>
                <w:rFonts w:ascii="Times New Roman" w:hAnsi="Times New Roman" w:cs="Times New Roman"/>
                <w:sz w:val="24"/>
                <w:szCs w:val="24"/>
              </w:rPr>
            </w:pPr>
            <w:r w:rsidRPr="000F02E1">
              <w:rPr>
                <w:rFonts w:ascii="Times New Roman" w:hAnsi="Times New Roman" w:cs="Times New Roman"/>
                <w:b/>
                <w:bCs/>
                <w:sz w:val="24"/>
                <w:szCs w:val="24"/>
              </w:rPr>
              <w:t xml:space="preserve">Méthode : </w:t>
            </w:r>
            <w:r w:rsidRPr="000F02E1">
              <w:rPr>
                <w:rFonts w:ascii="Times New Roman" w:hAnsi="Times New Roman" w:cs="Times New Roman"/>
                <w:sz w:val="24"/>
                <w:szCs w:val="24"/>
              </w:rPr>
              <w:t>Entretien semi-structuré. ↓</w:t>
            </w:r>
          </w:p>
          <w:p w14:paraId="75C0522D" w14:textId="77777777" w:rsidR="00294C8C" w:rsidRPr="009D08E4" w:rsidRDefault="00294C8C" w:rsidP="00E96B8C">
            <w:pPr>
              <w:jc w:val="both"/>
              <w:rPr>
                <w:rFonts w:ascii="Times New Roman" w:hAnsi="Times New Roman" w:cs="Times New Roman"/>
                <w:b/>
                <w:bCs/>
                <w:sz w:val="24"/>
                <w:szCs w:val="24"/>
              </w:rPr>
            </w:pPr>
          </w:p>
        </w:tc>
      </w:tr>
    </w:tbl>
    <w:p w14:paraId="7A88A385" w14:textId="77777777" w:rsidR="00294C8C" w:rsidRPr="00D80784" w:rsidRDefault="00294C8C" w:rsidP="00294C8C">
      <w:pPr>
        <w:jc w:val="both"/>
        <w:rPr>
          <w:rFonts w:ascii="Times New Roman" w:hAnsi="Times New Roman" w:cs="Times New Roman"/>
          <w:sz w:val="24"/>
          <w:szCs w:val="24"/>
        </w:rPr>
      </w:pPr>
    </w:p>
    <w:p w14:paraId="66F6249E" w14:textId="77777777" w:rsidR="00294C8C" w:rsidRPr="00D80784" w:rsidRDefault="00294C8C" w:rsidP="00294C8C">
      <w:pPr>
        <w:jc w:val="center"/>
        <w:rPr>
          <w:rFonts w:ascii="Times New Roman" w:hAnsi="Times New Roman" w:cs="Times New Roman"/>
          <w:b/>
          <w:bCs/>
          <w:sz w:val="24"/>
          <w:szCs w:val="24"/>
        </w:rPr>
      </w:pPr>
      <w:r w:rsidRPr="00D80784">
        <w:rPr>
          <w:rFonts w:ascii="Times New Roman" w:hAnsi="Times New Roman" w:cs="Times New Roman"/>
          <w:b/>
          <w:bCs/>
          <w:sz w:val="24"/>
          <w:szCs w:val="24"/>
        </w:rPr>
        <w:t>Introduction</w:t>
      </w:r>
    </w:p>
    <w:p w14:paraId="0BE7B29E" w14:textId="77777777" w:rsidR="00294C8C" w:rsidRPr="00D80784" w:rsidRDefault="00294C8C" w:rsidP="00294C8C">
      <w:pPr>
        <w:jc w:val="both"/>
        <w:rPr>
          <w:rFonts w:ascii="Times New Roman" w:hAnsi="Times New Roman" w:cs="Times New Roman"/>
          <w:sz w:val="24"/>
          <w:szCs w:val="24"/>
        </w:rPr>
      </w:pPr>
      <w:r w:rsidRPr="00D80784">
        <w:rPr>
          <w:rFonts w:ascii="Times New Roman" w:hAnsi="Times New Roman" w:cs="Times New Roman"/>
          <w:sz w:val="24"/>
          <w:szCs w:val="24"/>
        </w:rPr>
        <w:t>« Bonjour, tout d’abord je vous remercie de m’accorder du temps aujourd’hui pour vous entretenir avec moi. Notre entretien s’inscrit dans le cadre d’un cours universitaire de troisième cycle sur les méthodologies de recherche qualitative à la TÉLUQ. En tant qu’</w:t>
      </w:r>
      <w:proofErr w:type="spellStart"/>
      <w:r w:rsidRPr="00D80784">
        <w:rPr>
          <w:rFonts w:ascii="Times New Roman" w:hAnsi="Times New Roman" w:cs="Times New Roman"/>
          <w:sz w:val="24"/>
          <w:szCs w:val="24"/>
        </w:rPr>
        <w:t>étudiant-e</w:t>
      </w:r>
      <w:proofErr w:type="spellEnd"/>
      <w:r w:rsidRPr="00D80784">
        <w:rPr>
          <w:rFonts w:ascii="Times New Roman" w:hAnsi="Times New Roman" w:cs="Times New Roman"/>
          <w:sz w:val="24"/>
          <w:szCs w:val="24"/>
        </w:rPr>
        <w:t xml:space="preserve">, je suis </w:t>
      </w:r>
      <w:proofErr w:type="spellStart"/>
      <w:r w:rsidRPr="00D80784">
        <w:rPr>
          <w:rFonts w:ascii="Times New Roman" w:hAnsi="Times New Roman" w:cs="Times New Roman"/>
          <w:sz w:val="24"/>
          <w:szCs w:val="24"/>
        </w:rPr>
        <w:t>amené-e</w:t>
      </w:r>
      <w:proofErr w:type="spellEnd"/>
      <w:r w:rsidRPr="00D80784">
        <w:rPr>
          <w:rFonts w:ascii="Times New Roman" w:hAnsi="Times New Roman" w:cs="Times New Roman"/>
          <w:sz w:val="24"/>
          <w:szCs w:val="24"/>
        </w:rPr>
        <w:t xml:space="preserve"> à réaliser un entretien semi-dirigé avec une personne de mon entourage afin de mettre en pratique les notions vues en classe et de parfaire mes habiletés d’interviewer. Cet entretien vise à explorer avec vous et à recueillir votre témoignage quant à votre/vos choix de programme d’études</w:t>
      </w:r>
      <w:r>
        <w:rPr>
          <w:rFonts w:ascii="Times New Roman" w:hAnsi="Times New Roman" w:cs="Times New Roman"/>
          <w:sz w:val="24"/>
          <w:szCs w:val="24"/>
        </w:rPr>
        <w:t xml:space="preserve">, </w:t>
      </w:r>
      <w:r w:rsidRPr="0054286B">
        <w:rPr>
          <w:rFonts w:ascii="Times New Roman" w:hAnsi="Times New Roman" w:cs="Times New Roman"/>
          <w:sz w:val="24"/>
          <w:szCs w:val="24"/>
        </w:rPr>
        <w:t>qu’il/ils soit/soient de niveau universitaire, collégial ou professionnel. Cet entretien va porter</w:t>
      </w:r>
      <w:r w:rsidRPr="00D80784">
        <w:rPr>
          <w:rFonts w:ascii="Times New Roman" w:hAnsi="Times New Roman" w:cs="Times New Roman"/>
          <w:sz w:val="24"/>
          <w:szCs w:val="24"/>
        </w:rPr>
        <w:t xml:space="preserve"> essentiellement sur les raisons et motivations qui vous ont amené à choisir tel ou tel programme d’études. Je suis </w:t>
      </w:r>
      <w:proofErr w:type="spellStart"/>
      <w:r w:rsidRPr="00D80784">
        <w:rPr>
          <w:rFonts w:ascii="Times New Roman" w:hAnsi="Times New Roman" w:cs="Times New Roman"/>
          <w:sz w:val="24"/>
          <w:szCs w:val="24"/>
        </w:rPr>
        <w:t>intéressé-e</w:t>
      </w:r>
      <w:proofErr w:type="spellEnd"/>
      <w:r w:rsidRPr="00D80784">
        <w:rPr>
          <w:rFonts w:ascii="Times New Roman" w:hAnsi="Times New Roman" w:cs="Times New Roman"/>
          <w:sz w:val="24"/>
          <w:szCs w:val="24"/>
        </w:rPr>
        <w:t xml:space="preserve"> à vous entendre parler, entre autres choses, de votre contexte de vie (personnel, familial, social, économique, etc.) au moment de ces décisions, de vos attentes et aspirations envers </w:t>
      </w:r>
      <w:proofErr w:type="spellStart"/>
      <w:r w:rsidRPr="00D80784">
        <w:rPr>
          <w:rFonts w:ascii="Times New Roman" w:hAnsi="Times New Roman" w:cs="Times New Roman"/>
          <w:sz w:val="24"/>
          <w:szCs w:val="24"/>
        </w:rPr>
        <w:t>ce-s</w:t>
      </w:r>
      <w:proofErr w:type="spellEnd"/>
      <w:r w:rsidRPr="00D80784">
        <w:rPr>
          <w:rFonts w:ascii="Times New Roman" w:hAnsi="Times New Roman" w:cs="Times New Roman"/>
          <w:sz w:val="24"/>
          <w:szCs w:val="24"/>
        </w:rPr>
        <w:t xml:space="preserve"> </w:t>
      </w:r>
      <w:proofErr w:type="spellStart"/>
      <w:r w:rsidRPr="00D80784">
        <w:rPr>
          <w:rFonts w:ascii="Times New Roman" w:hAnsi="Times New Roman" w:cs="Times New Roman"/>
          <w:sz w:val="24"/>
          <w:szCs w:val="24"/>
        </w:rPr>
        <w:t>programme-s</w:t>
      </w:r>
      <w:proofErr w:type="spellEnd"/>
      <w:r w:rsidRPr="00D80784">
        <w:rPr>
          <w:rFonts w:ascii="Times New Roman" w:hAnsi="Times New Roman" w:cs="Times New Roman"/>
          <w:sz w:val="24"/>
          <w:szCs w:val="24"/>
        </w:rPr>
        <w:t xml:space="preserve"> d’études, ainsi que des compétences que vous possédiez au moment de faire votre choix. L’entretien est d’une durée prévue de 20 à 30 minutes. L’entretien est enregistré de manière audio à des fins de corrections et de rétroactions sur ma manière de tenir l’entretien. Seule la personne chargée d’encadrement aura accès à la bande audio. Bien entendu, tout ce que vous me direz aujourd’hui demeurera confidentiel au sens où aucune donnée nominative qui pourraient permettent de vous identifier, comme votre nom, âge ou lieu de résidence, ne sera transmise. Seuls les propos tenus dans le cadre de cet entretien seront accessibles à la personne chargée d’enseignement. Il n’y a pas de bonnes ou de mauvaises réponses, votre point de </w:t>
      </w:r>
      <w:proofErr w:type="gramStart"/>
      <w:r w:rsidRPr="00D80784">
        <w:rPr>
          <w:rFonts w:ascii="Times New Roman" w:hAnsi="Times New Roman" w:cs="Times New Roman"/>
          <w:sz w:val="24"/>
          <w:szCs w:val="24"/>
        </w:rPr>
        <w:t>vue  m’intéresse</w:t>
      </w:r>
      <w:proofErr w:type="gramEnd"/>
      <w:r w:rsidRPr="00D80784">
        <w:rPr>
          <w:rFonts w:ascii="Times New Roman" w:hAnsi="Times New Roman" w:cs="Times New Roman"/>
          <w:sz w:val="24"/>
          <w:szCs w:val="24"/>
        </w:rPr>
        <w:t xml:space="preserve"> tel qu’il est. À tout moment, sentez-vous libre de m’interrompre si mes questions ne </w:t>
      </w:r>
      <w:r w:rsidRPr="00D80784">
        <w:rPr>
          <w:rFonts w:ascii="Times New Roman" w:hAnsi="Times New Roman" w:cs="Times New Roman"/>
          <w:sz w:val="24"/>
          <w:szCs w:val="24"/>
        </w:rPr>
        <w:lastRenderedPageBreak/>
        <w:t>sont pas claires ou d’ajouter des précisions si vous le jugez nécessaire. Il vous est possible d’arrêter l’entrevue à tout moment. »</w:t>
      </w:r>
    </w:p>
    <w:p w14:paraId="52BC1C7B" w14:textId="77777777" w:rsidR="00294C8C" w:rsidRDefault="00294C8C" w:rsidP="00294C8C">
      <w:pPr>
        <w:jc w:val="center"/>
        <w:rPr>
          <w:rFonts w:ascii="Times New Roman" w:hAnsi="Times New Roman" w:cs="Times New Roman"/>
          <w:b/>
          <w:bCs/>
          <w:sz w:val="24"/>
          <w:szCs w:val="24"/>
        </w:rPr>
      </w:pPr>
      <w:r w:rsidRPr="00D80784">
        <w:rPr>
          <w:rFonts w:ascii="Times New Roman" w:hAnsi="Times New Roman" w:cs="Times New Roman"/>
          <w:b/>
          <w:bCs/>
          <w:sz w:val="24"/>
          <w:szCs w:val="24"/>
        </w:rPr>
        <w:t>Entretien</w:t>
      </w:r>
    </w:p>
    <w:tbl>
      <w:tblPr>
        <w:tblStyle w:val="Grilledutableau"/>
        <w:tblW w:w="0" w:type="auto"/>
        <w:tblLook w:val="04A0" w:firstRow="1" w:lastRow="0" w:firstColumn="1" w:lastColumn="0" w:noHBand="0" w:noVBand="1"/>
      </w:tblPr>
      <w:tblGrid>
        <w:gridCol w:w="9352"/>
      </w:tblGrid>
      <w:tr w:rsidR="00294C8C" w14:paraId="5743AB0E" w14:textId="77777777" w:rsidTr="00E96B8C">
        <w:tc>
          <w:tcPr>
            <w:tcW w:w="9352" w:type="dxa"/>
          </w:tcPr>
          <w:p w14:paraId="159D86A8" w14:textId="77777777" w:rsidR="00294C8C" w:rsidRDefault="00294C8C" w:rsidP="00E96B8C">
            <w:pPr>
              <w:jc w:val="both"/>
              <w:rPr>
                <w:rFonts w:ascii="Times New Roman" w:hAnsi="Times New Roman" w:cs="Times New Roman"/>
                <w:sz w:val="24"/>
                <w:szCs w:val="24"/>
              </w:rPr>
            </w:pPr>
            <w:r w:rsidRPr="00201EE5">
              <w:rPr>
                <w:rFonts w:ascii="Times New Roman" w:hAnsi="Times New Roman" w:cs="Times New Roman"/>
                <w:b/>
                <w:bCs/>
                <w:sz w:val="24"/>
                <w:szCs w:val="24"/>
              </w:rPr>
              <w:t xml:space="preserve">Déroulement : </w:t>
            </w:r>
            <w:r w:rsidRPr="00201EE5">
              <w:rPr>
                <w:rFonts w:ascii="Times New Roman" w:hAnsi="Times New Roman" w:cs="Times New Roman"/>
                <w:sz w:val="24"/>
                <w:szCs w:val="24"/>
              </w:rPr>
              <w:t xml:space="preserve">La marche à suivre est de débuter avec une question large qui laisse la place aux participants de pouvoir s’exprimer (question principale). Une fois que la personne interviewée commence à s’exprimer, il s’agit d’utiliser son jugement pour naviguer avec la personne interviewée et « amplifier » certains éléments de son discours à la lumière de votre question de recherche et des concepts sensibilisateurs (p.ex., intérêts personnels, contraintes externes, gains potentiels, etc.) qui guident votre démarche de recherche. Vous trouverez deux exemples de questions supplémentaires qui peuvent vous aider à atteindre votre objectif de recherche. Afin de bien saisir le vécu (ici les motifs derrière le choix de son-ses </w:t>
            </w:r>
            <w:proofErr w:type="spellStart"/>
            <w:r w:rsidRPr="00201EE5">
              <w:rPr>
                <w:rFonts w:ascii="Times New Roman" w:hAnsi="Times New Roman" w:cs="Times New Roman"/>
                <w:sz w:val="24"/>
                <w:szCs w:val="24"/>
              </w:rPr>
              <w:t>programme-s</w:t>
            </w:r>
            <w:proofErr w:type="spellEnd"/>
            <w:r w:rsidRPr="00201EE5">
              <w:rPr>
                <w:rFonts w:ascii="Times New Roman" w:hAnsi="Times New Roman" w:cs="Times New Roman"/>
                <w:sz w:val="24"/>
                <w:szCs w:val="24"/>
              </w:rPr>
              <w:t xml:space="preserve"> d’étude), vous devez questionner la personne interviewée de manière qu’elle développe son propos et que le sens qu’elle attribue à son vécu puisse </w:t>
            </w:r>
            <w:proofErr w:type="gramStart"/>
            <w:r w:rsidRPr="00201EE5">
              <w:rPr>
                <w:rFonts w:ascii="Times New Roman" w:hAnsi="Times New Roman" w:cs="Times New Roman"/>
                <w:sz w:val="24"/>
                <w:szCs w:val="24"/>
              </w:rPr>
              <w:t>s’exprimer..</w:t>
            </w:r>
            <w:proofErr w:type="gramEnd"/>
            <w:r w:rsidRPr="00201EE5">
              <w:rPr>
                <w:rFonts w:ascii="Times New Roman" w:hAnsi="Times New Roman" w:cs="Times New Roman"/>
                <w:sz w:val="24"/>
                <w:szCs w:val="24"/>
              </w:rPr>
              <w:t xml:space="preserve"> Vous trouverez des exemples de questions de relance visant à favoriser l’élaboration de la personne interviewée et à faire émerger son vécu singulier.</w:t>
            </w:r>
          </w:p>
        </w:tc>
      </w:tr>
    </w:tbl>
    <w:p w14:paraId="5A0611A0" w14:textId="77777777" w:rsidR="00294C8C" w:rsidRPr="004075AC" w:rsidRDefault="00294C8C" w:rsidP="00294C8C">
      <w:pPr>
        <w:jc w:val="both"/>
        <w:rPr>
          <w:rFonts w:ascii="Times New Roman" w:hAnsi="Times New Roman" w:cs="Times New Roman"/>
          <w:sz w:val="24"/>
          <w:szCs w:val="24"/>
        </w:rPr>
      </w:pPr>
    </w:p>
    <w:p w14:paraId="35DF034A" w14:textId="77777777" w:rsidR="00294C8C" w:rsidRPr="00D80784" w:rsidRDefault="00294C8C" w:rsidP="00294C8C">
      <w:pPr>
        <w:jc w:val="both"/>
        <w:rPr>
          <w:rFonts w:ascii="Times New Roman" w:hAnsi="Times New Roman" w:cs="Times New Roman"/>
          <w:sz w:val="24"/>
          <w:szCs w:val="24"/>
        </w:rPr>
      </w:pPr>
      <w:r w:rsidRPr="00D80784">
        <w:rPr>
          <w:rFonts w:ascii="Times New Roman" w:hAnsi="Times New Roman" w:cs="Times New Roman"/>
          <w:b/>
          <w:bCs/>
          <w:sz w:val="24"/>
          <w:szCs w:val="24"/>
        </w:rPr>
        <w:t>Question principale :</w:t>
      </w:r>
      <w:r w:rsidRPr="00D80784">
        <w:rPr>
          <w:rFonts w:ascii="Times New Roman" w:hAnsi="Times New Roman" w:cs="Times New Roman"/>
          <w:sz w:val="24"/>
          <w:szCs w:val="24"/>
        </w:rPr>
        <w:t xml:space="preserve"> « Penser à un programme d’études à lequel vous vous êtes inscrit. Parler moi de ce programme d’études et de ce qui vous a mené à vous y inscrire. »</w:t>
      </w:r>
    </w:p>
    <w:p w14:paraId="478DF165" w14:textId="77777777" w:rsidR="00294C8C" w:rsidRDefault="00294C8C" w:rsidP="00294C8C">
      <w:pPr>
        <w:spacing w:after="0" w:line="240" w:lineRule="auto"/>
        <w:jc w:val="both"/>
        <w:rPr>
          <w:rFonts w:ascii="Times New Roman" w:hAnsi="Times New Roman" w:cs="Times New Roman"/>
          <w:b/>
          <w:bCs/>
          <w:sz w:val="24"/>
          <w:szCs w:val="24"/>
        </w:rPr>
      </w:pPr>
      <w:r w:rsidRPr="00D80784">
        <w:rPr>
          <w:rFonts w:ascii="Times New Roman" w:hAnsi="Times New Roman" w:cs="Times New Roman"/>
          <w:b/>
          <w:bCs/>
          <w:sz w:val="24"/>
          <w:szCs w:val="24"/>
        </w:rPr>
        <w:t>Questions supplémentaires :</w:t>
      </w:r>
    </w:p>
    <w:p w14:paraId="2B727C6B" w14:textId="77777777" w:rsidR="00294C8C" w:rsidRPr="00D80784" w:rsidRDefault="00294C8C" w:rsidP="00294C8C">
      <w:pPr>
        <w:spacing w:after="0" w:line="240" w:lineRule="auto"/>
        <w:jc w:val="both"/>
        <w:rPr>
          <w:rFonts w:ascii="Times New Roman" w:hAnsi="Times New Roman" w:cs="Times New Roman"/>
          <w:b/>
          <w:bCs/>
          <w:sz w:val="24"/>
          <w:szCs w:val="24"/>
        </w:rPr>
      </w:pPr>
    </w:p>
    <w:p w14:paraId="621BEEB5" w14:textId="77777777" w:rsidR="00294C8C" w:rsidRPr="00D80784" w:rsidRDefault="00294C8C" w:rsidP="00294C8C">
      <w:pPr>
        <w:numPr>
          <w:ilvl w:val="0"/>
          <w:numId w:val="1"/>
        </w:numPr>
        <w:spacing w:after="0"/>
        <w:ind w:left="714" w:hanging="357"/>
        <w:jc w:val="both"/>
        <w:rPr>
          <w:rFonts w:ascii="Times New Roman" w:hAnsi="Times New Roman" w:cs="Times New Roman"/>
          <w:sz w:val="24"/>
          <w:szCs w:val="24"/>
        </w:rPr>
      </w:pPr>
      <w:r w:rsidRPr="00D80784">
        <w:rPr>
          <w:rFonts w:ascii="Times New Roman" w:hAnsi="Times New Roman" w:cs="Times New Roman"/>
          <w:sz w:val="24"/>
          <w:szCs w:val="24"/>
        </w:rPr>
        <w:t>« Quel était votre situation – contexte de vie - au moment de la prise de décision ? »</w:t>
      </w:r>
    </w:p>
    <w:p w14:paraId="64A18DCA" w14:textId="77777777" w:rsidR="00294C8C" w:rsidRDefault="00294C8C" w:rsidP="00294C8C">
      <w:pPr>
        <w:numPr>
          <w:ilvl w:val="0"/>
          <w:numId w:val="1"/>
        </w:numPr>
        <w:spacing w:after="0"/>
        <w:ind w:left="714" w:hanging="357"/>
        <w:jc w:val="both"/>
        <w:rPr>
          <w:rFonts w:ascii="Times New Roman" w:hAnsi="Times New Roman" w:cs="Times New Roman"/>
          <w:sz w:val="24"/>
          <w:szCs w:val="24"/>
        </w:rPr>
      </w:pPr>
      <w:r w:rsidRPr="00D80784">
        <w:rPr>
          <w:rFonts w:ascii="Times New Roman" w:hAnsi="Times New Roman" w:cs="Times New Roman"/>
          <w:sz w:val="24"/>
          <w:szCs w:val="24"/>
        </w:rPr>
        <w:t>« Quelles étaient vos attentes et vos aspirations face à ce programme d’étude ? »</w:t>
      </w:r>
    </w:p>
    <w:p w14:paraId="24C957C6" w14:textId="77777777" w:rsidR="00294C8C" w:rsidRPr="00D80784" w:rsidRDefault="00294C8C" w:rsidP="00294C8C">
      <w:pPr>
        <w:spacing w:after="0"/>
        <w:ind w:left="714"/>
        <w:jc w:val="both"/>
        <w:rPr>
          <w:rFonts w:ascii="Times New Roman" w:hAnsi="Times New Roman" w:cs="Times New Roman"/>
          <w:sz w:val="24"/>
          <w:szCs w:val="24"/>
        </w:rPr>
      </w:pPr>
    </w:p>
    <w:p w14:paraId="5B391527" w14:textId="77777777" w:rsidR="00294C8C" w:rsidRPr="00D80784" w:rsidRDefault="00294C8C" w:rsidP="00294C8C">
      <w:pPr>
        <w:jc w:val="both"/>
        <w:rPr>
          <w:rFonts w:ascii="Times New Roman" w:hAnsi="Times New Roman" w:cs="Times New Roman"/>
          <w:sz w:val="24"/>
          <w:szCs w:val="24"/>
        </w:rPr>
      </w:pPr>
      <w:r w:rsidRPr="00D80784">
        <w:rPr>
          <w:rFonts w:ascii="Times New Roman" w:hAnsi="Times New Roman" w:cs="Times New Roman"/>
          <w:b/>
          <w:bCs/>
          <w:sz w:val="24"/>
          <w:szCs w:val="24"/>
        </w:rPr>
        <w:t>Questions de relance (pour favorise l’élaboration de la personne interviewée)</w:t>
      </w:r>
      <w:r w:rsidRPr="00D80784">
        <w:rPr>
          <w:rFonts w:ascii="Times New Roman" w:hAnsi="Times New Roman" w:cs="Times New Roman"/>
          <w:sz w:val="24"/>
          <w:szCs w:val="24"/>
        </w:rPr>
        <w:t> :</w:t>
      </w:r>
    </w:p>
    <w:p w14:paraId="37ED6B49" w14:textId="77777777" w:rsidR="00294C8C" w:rsidRPr="00D80784" w:rsidRDefault="00294C8C" w:rsidP="00294C8C">
      <w:pPr>
        <w:numPr>
          <w:ilvl w:val="0"/>
          <w:numId w:val="2"/>
        </w:numPr>
        <w:spacing w:after="0"/>
        <w:jc w:val="both"/>
        <w:rPr>
          <w:rFonts w:ascii="Times New Roman" w:hAnsi="Times New Roman" w:cs="Times New Roman"/>
          <w:sz w:val="24"/>
          <w:szCs w:val="24"/>
        </w:rPr>
      </w:pPr>
      <w:r w:rsidRPr="00D80784">
        <w:rPr>
          <w:rFonts w:ascii="Times New Roman" w:hAnsi="Times New Roman" w:cs="Times New Roman"/>
          <w:sz w:val="24"/>
          <w:szCs w:val="24"/>
        </w:rPr>
        <w:t>« Lorsque vous dites que … qu’est-ce que vous voulez dire ? »</w:t>
      </w:r>
    </w:p>
    <w:p w14:paraId="2A399B80" w14:textId="77777777" w:rsidR="00294C8C" w:rsidRPr="00D80784" w:rsidRDefault="00294C8C" w:rsidP="00294C8C">
      <w:pPr>
        <w:numPr>
          <w:ilvl w:val="0"/>
          <w:numId w:val="2"/>
        </w:numPr>
        <w:spacing w:after="0"/>
        <w:jc w:val="both"/>
        <w:rPr>
          <w:rFonts w:ascii="Times New Roman" w:hAnsi="Times New Roman" w:cs="Times New Roman"/>
          <w:sz w:val="24"/>
          <w:szCs w:val="24"/>
        </w:rPr>
      </w:pPr>
      <w:r w:rsidRPr="00D80784">
        <w:rPr>
          <w:rFonts w:ascii="Times New Roman" w:hAnsi="Times New Roman" w:cs="Times New Roman"/>
          <w:sz w:val="24"/>
          <w:szCs w:val="24"/>
        </w:rPr>
        <w:t>« Pouvez-vous m’en parler davantage ? »</w:t>
      </w:r>
    </w:p>
    <w:p w14:paraId="7F0F3804" w14:textId="77777777" w:rsidR="00294C8C" w:rsidRPr="00D80784" w:rsidRDefault="00294C8C" w:rsidP="00294C8C">
      <w:pPr>
        <w:numPr>
          <w:ilvl w:val="0"/>
          <w:numId w:val="2"/>
        </w:numPr>
        <w:spacing w:after="0"/>
        <w:jc w:val="both"/>
        <w:rPr>
          <w:rFonts w:ascii="Times New Roman" w:hAnsi="Times New Roman" w:cs="Times New Roman"/>
          <w:sz w:val="24"/>
          <w:szCs w:val="24"/>
        </w:rPr>
      </w:pPr>
      <w:r w:rsidRPr="00D80784">
        <w:rPr>
          <w:rFonts w:ascii="Times New Roman" w:hAnsi="Times New Roman" w:cs="Times New Roman"/>
          <w:sz w:val="24"/>
          <w:szCs w:val="24"/>
        </w:rPr>
        <w:t>« J’</w:t>
      </w:r>
      <w:proofErr w:type="spellStart"/>
      <w:r w:rsidRPr="00D80784">
        <w:rPr>
          <w:rFonts w:ascii="Times New Roman" w:hAnsi="Times New Roman" w:cs="Times New Roman"/>
          <w:sz w:val="24"/>
          <w:szCs w:val="24"/>
        </w:rPr>
        <w:t>entend</w:t>
      </w:r>
      <w:proofErr w:type="spellEnd"/>
      <w:r w:rsidRPr="00D80784">
        <w:rPr>
          <w:rFonts w:ascii="Times New Roman" w:hAnsi="Times New Roman" w:cs="Times New Roman"/>
          <w:sz w:val="24"/>
          <w:szCs w:val="24"/>
        </w:rPr>
        <w:t xml:space="preserve"> que vous avez fait cela parce que … est-ce que j’ai bien compris ? »</w:t>
      </w:r>
    </w:p>
    <w:p w14:paraId="05E4EC57" w14:textId="77777777" w:rsidR="00294C8C" w:rsidRPr="00D80784" w:rsidRDefault="00294C8C" w:rsidP="00294C8C">
      <w:pPr>
        <w:numPr>
          <w:ilvl w:val="0"/>
          <w:numId w:val="2"/>
        </w:numPr>
        <w:spacing w:after="0"/>
        <w:jc w:val="both"/>
        <w:rPr>
          <w:rFonts w:ascii="Times New Roman" w:hAnsi="Times New Roman" w:cs="Times New Roman"/>
          <w:sz w:val="24"/>
          <w:szCs w:val="24"/>
        </w:rPr>
      </w:pPr>
      <w:r w:rsidRPr="00D80784">
        <w:rPr>
          <w:rFonts w:ascii="Times New Roman" w:hAnsi="Times New Roman" w:cs="Times New Roman"/>
          <w:sz w:val="24"/>
          <w:szCs w:val="24"/>
        </w:rPr>
        <w:t>« Vous dites que … [répéter le propos et laisser un silence pour que la personne poursuive son élaboration] »</w:t>
      </w:r>
    </w:p>
    <w:p w14:paraId="3A4B74E3" w14:textId="77777777" w:rsidR="00294C8C" w:rsidRDefault="00294C8C" w:rsidP="00294C8C">
      <w:pPr>
        <w:spacing w:after="0"/>
        <w:jc w:val="center"/>
        <w:rPr>
          <w:rFonts w:ascii="Times New Roman" w:hAnsi="Times New Roman" w:cs="Times New Roman"/>
          <w:b/>
          <w:bCs/>
          <w:sz w:val="24"/>
          <w:szCs w:val="24"/>
        </w:rPr>
      </w:pPr>
      <w:r w:rsidRPr="00D80784">
        <w:rPr>
          <w:rFonts w:ascii="Times New Roman" w:hAnsi="Times New Roman" w:cs="Times New Roman"/>
          <w:b/>
          <w:bCs/>
          <w:sz w:val="24"/>
          <w:szCs w:val="24"/>
        </w:rPr>
        <w:t>Conclusion</w:t>
      </w:r>
    </w:p>
    <w:p w14:paraId="7BCFF38A" w14:textId="77777777" w:rsidR="00294C8C" w:rsidRDefault="00294C8C" w:rsidP="00294C8C">
      <w:pPr>
        <w:spacing w:after="0"/>
        <w:jc w:val="center"/>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9352"/>
      </w:tblGrid>
      <w:tr w:rsidR="00294C8C" w14:paraId="7FDC75BA" w14:textId="77777777" w:rsidTr="00E96B8C">
        <w:tc>
          <w:tcPr>
            <w:tcW w:w="9352" w:type="dxa"/>
          </w:tcPr>
          <w:p w14:paraId="73BEF57B" w14:textId="77777777" w:rsidR="00294C8C" w:rsidRPr="00967895" w:rsidRDefault="00294C8C" w:rsidP="00E96B8C">
            <w:pPr>
              <w:jc w:val="both"/>
              <w:rPr>
                <w:rFonts w:ascii="Times New Roman" w:hAnsi="Times New Roman" w:cs="Times New Roman"/>
                <w:sz w:val="24"/>
                <w:szCs w:val="24"/>
              </w:rPr>
            </w:pPr>
            <w:r w:rsidRPr="00201EE5">
              <w:rPr>
                <w:rFonts w:ascii="Times New Roman" w:hAnsi="Times New Roman" w:cs="Times New Roman"/>
                <w:sz w:val="24"/>
                <w:szCs w:val="24"/>
              </w:rPr>
              <w:t>L’idée de la conclusion est d’abord d’annoncer la clôture imminente de l’entretien, puis de laisser la possibilité à la personne interviewée d’ajouter ou de préciser certains éléments. Il n’est pas rare que des éléments très intéressants surgissent vers la fin de l’entretien alors que la fin est annoncée. Finalement, il s’agit de remercier la personne interviewée pour le temps qu’elle vous a accordé.</w:t>
            </w:r>
          </w:p>
        </w:tc>
      </w:tr>
    </w:tbl>
    <w:p w14:paraId="479D5F20" w14:textId="77777777" w:rsidR="00294C8C" w:rsidRPr="00D80784" w:rsidRDefault="00294C8C" w:rsidP="00294C8C">
      <w:pPr>
        <w:spacing w:after="0"/>
        <w:rPr>
          <w:rFonts w:ascii="Times New Roman" w:hAnsi="Times New Roman" w:cs="Times New Roman"/>
          <w:sz w:val="24"/>
          <w:szCs w:val="24"/>
        </w:rPr>
      </w:pPr>
    </w:p>
    <w:p w14:paraId="7B572085" w14:textId="77777777" w:rsidR="00294C8C" w:rsidRPr="00D80784" w:rsidRDefault="00294C8C" w:rsidP="00294C8C">
      <w:pPr>
        <w:spacing w:after="0"/>
        <w:jc w:val="both"/>
        <w:rPr>
          <w:rFonts w:ascii="Times New Roman" w:hAnsi="Times New Roman" w:cs="Times New Roman"/>
          <w:sz w:val="24"/>
          <w:szCs w:val="24"/>
        </w:rPr>
      </w:pPr>
      <w:r w:rsidRPr="00D80784">
        <w:rPr>
          <w:rFonts w:ascii="Times New Roman" w:hAnsi="Times New Roman" w:cs="Times New Roman"/>
          <w:sz w:val="24"/>
          <w:szCs w:val="24"/>
        </w:rPr>
        <w:t>« Avant que l’on s’arrête, j’aimerais savoir si vous vouliez revenir sur des choses que vous avez dites pour apporter des précisions</w:t>
      </w:r>
      <w:r>
        <w:rPr>
          <w:rFonts w:ascii="Times New Roman" w:hAnsi="Times New Roman" w:cs="Times New Roman"/>
          <w:sz w:val="24"/>
          <w:szCs w:val="24"/>
        </w:rPr>
        <w:t xml:space="preserve">. Au besoin, vous pourriez aussi ajouter d’autres informations que vous jugeriez utiles. </w:t>
      </w:r>
      <w:r w:rsidRPr="00D80784">
        <w:rPr>
          <w:rFonts w:ascii="Times New Roman" w:hAnsi="Times New Roman" w:cs="Times New Roman"/>
          <w:sz w:val="24"/>
          <w:szCs w:val="24"/>
        </w:rPr>
        <w:t xml:space="preserve">Je vous remercie d’avoir partagé votre </w:t>
      </w:r>
      <w:r>
        <w:rPr>
          <w:rFonts w:ascii="Times New Roman" w:hAnsi="Times New Roman" w:cs="Times New Roman"/>
          <w:sz w:val="24"/>
          <w:szCs w:val="24"/>
        </w:rPr>
        <w:t xml:space="preserve">expérience et votre </w:t>
      </w:r>
      <w:r w:rsidRPr="00D80784">
        <w:rPr>
          <w:rFonts w:ascii="Times New Roman" w:hAnsi="Times New Roman" w:cs="Times New Roman"/>
          <w:sz w:val="24"/>
          <w:szCs w:val="24"/>
        </w:rPr>
        <w:t xml:space="preserve">vécu avec moi </w:t>
      </w:r>
      <w:r w:rsidRPr="00D80784">
        <w:rPr>
          <w:rFonts w:ascii="Times New Roman" w:hAnsi="Times New Roman" w:cs="Times New Roman"/>
          <w:sz w:val="24"/>
          <w:szCs w:val="24"/>
        </w:rPr>
        <w:lastRenderedPageBreak/>
        <w:t>et d’avoir consacré du temps à mon processus d’apprentissage. Je vais maintenant arrêter l’enregistrement. »</w:t>
      </w:r>
    </w:p>
    <w:p w14:paraId="49E13F56" w14:textId="77777777" w:rsidR="004A63E0" w:rsidRDefault="004A63E0"/>
    <w:sectPr w:rsidR="004A63E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77CA" w14:textId="77777777" w:rsidR="00294C8C" w:rsidRDefault="00294C8C" w:rsidP="00294C8C">
      <w:pPr>
        <w:spacing w:after="0" w:line="240" w:lineRule="auto"/>
      </w:pPr>
      <w:r>
        <w:separator/>
      </w:r>
    </w:p>
  </w:endnote>
  <w:endnote w:type="continuationSeparator" w:id="0">
    <w:p w14:paraId="4553DD36" w14:textId="77777777" w:rsidR="00294C8C" w:rsidRDefault="00294C8C" w:rsidP="0029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9CB7" w14:textId="77777777" w:rsidR="00294C8C" w:rsidRDefault="00294C8C" w:rsidP="00294C8C">
      <w:pPr>
        <w:spacing w:after="0" w:line="240" w:lineRule="auto"/>
      </w:pPr>
      <w:r>
        <w:separator/>
      </w:r>
    </w:p>
  </w:footnote>
  <w:footnote w:type="continuationSeparator" w:id="0">
    <w:p w14:paraId="2597C278" w14:textId="77777777" w:rsidR="00294C8C" w:rsidRDefault="00294C8C" w:rsidP="00294C8C">
      <w:pPr>
        <w:spacing w:after="0" w:line="240" w:lineRule="auto"/>
      </w:pPr>
      <w:r>
        <w:continuationSeparator/>
      </w:r>
    </w:p>
  </w:footnote>
  <w:footnote w:id="1">
    <w:p w14:paraId="58877C9C" w14:textId="77777777" w:rsidR="00294C8C" w:rsidRDefault="00294C8C" w:rsidP="00294C8C">
      <w:pPr>
        <w:pStyle w:val="Notedebasdepage"/>
        <w:jc w:val="both"/>
      </w:pPr>
      <w:r>
        <w:rPr>
          <w:rStyle w:val="Appelnotedebasdep"/>
        </w:rPr>
        <w:footnoteRef/>
      </w:r>
      <w:r>
        <w:t xml:space="preserve"> Reprendre un mot clé dans le discours de la personne interrogée (Boutin, 2011)</w:t>
      </w:r>
    </w:p>
  </w:footnote>
  <w:footnote w:id="2">
    <w:p w14:paraId="60C454E5" w14:textId="77777777" w:rsidR="00294C8C" w:rsidRDefault="00294C8C" w:rsidP="00294C8C">
      <w:pPr>
        <w:pStyle w:val="Notedebasdepage"/>
        <w:jc w:val="both"/>
      </w:pPr>
      <w:r>
        <w:rPr>
          <w:rStyle w:val="Appelnotedebasdep"/>
        </w:rPr>
        <w:footnoteRef/>
      </w:r>
      <w:r>
        <w:t xml:space="preserve"> Répéter une idée émise par la personne interrogée en des termes identiques ou équivalents (Boutin, 2011)</w:t>
      </w:r>
    </w:p>
  </w:footnote>
  <w:footnote w:id="3">
    <w:p w14:paraId="66F9C86E" w14:textId="77777777" w:rsidR="00294C8C" w:rsidRDefault="00294C8C" w:rsidP="00294C8C">
      <w:pPr>
        <w:pStyle w:val="Notedebasdepage"/>
        <w:jc w:val="both"/>
      </w:pPr>
      <w:r>
        <w:rPr>
          <w:rStyle w:val="Appelnotedebasdep"/>
        </w:rPr>
        <w:footnoteRef/>
      </w:r>
      <w:r>
        <w:t xml:space="preserve"> Réunir des éléments importants dans une même proposition et vérifier le sens qu’en donne la personne interrogée (Boutin, 2011)</w:t>
      </w:r>
    </w:p>
  </w:footnote>
  <w:footnote w:id="4">
    <w:p w14:paraId="178B0BBD" w14:textId="77777777" w:rsidR="00294C8C" w:rsidRDefault="00294C8C" w:rsidP="00294C8C">
      <w:pPr>
        <w:pStyle w:val="Notedebasdepage"/>
        <w:jc w:val="both"/>
      </w:pPr>
      <w:r>
        <w:rPr>
          <w:rStyle w:val="Appelnotedebasdep"/>
        </w:rPr>
        <w:footnoteRef/>
      </w:r>
      <w:r>
        <w:t xml:space="preserve"> Résumer de façon explicite les idées émises par la personne interrogée pour répondre à une question (Boutin, 2011)</w:t>
      </w:r>
    </w:p>
  </w:footnote>
  <w:footnote w:id="5">
    <w:p w14:paraId="4C4E1B17" w14:textId="77777777" w:rsidR="00294C8C" w:rsidRDefault="00294C8C" w:rsidP="00294C8C">
      <w:pPr>
        <w:pStyle w:val="Notedebasdepage"/>
        <w:jc w:val="both"/>
      </w:pPr>
      <w:r>
        <w:rPr>
          <w:rStyle w:val="Appelnotedebasdep"/>
        </w:rPr>
        <w:footnoteRef/>
      </w:r>
      <w:r>
        <w:t xml:space="preserve"> Faire la synthèse des éléments disponibles avant de passer à une autre étape de l’entrevue (Boutin, 2011)</w:t>
      </w:r>
    </w:p>
  </w:footnote>
  <w:footnote w:id="6">
    <w:p w14:paraId="6B721B7E" w14:textId="77777777" w:rsidR="00294C8C" w:rsidRDefault="00294C8C" w:rsidP="00294C8C">
      <w:pPr>
        <w:pStyle w:val="Notedebasdepage"/>
        <w:jc w:val="both"/>
      </w:pPr>
      <w:r>
        <w:rPr>
          <w:rStyle w:val="Appelnotedebasdep"/>
        </w:rPr>
        <w:footnoteRef/>
      </w:r>
      <w:r>
        <w:t xml:space="preserve"> Revoir les points majeurs de l’entretien avec la personne interrogée et en vérifiant le sens et le contenu (Boutin, 2011)</w:t>
      </w:r>
    </w:p>
  </w:footnote>
  <w:footnote w:id="7">
    <w:p w14:paraId="13959E52" w14:textId="77777777" w:rsidR="00294C8C" w:rsidRDefault="00294C8C" w:rsidP="00294C8C">
      <w:pPr>
        <w:pStyle w:val="Notedebasdepage"/>
        <w:jc w:val="both"/>
      </w:pPr>
      <w:r>
        <w:rPr>
          <w:rStyle w:val="Appelnotedebasdep"/>
        </w:rPr>
        <w:footnoteRef/>
      </w:r>
      <w:r>
        <w:t xml:space="preserve"> </w:t>
      </w:r>
      <w:r w:rsidRPr="000F02E1">
        <w:rPr>
          <w:rFonts w:ascii="Times New Roman" w:hAnsi="Times New Roman" w:cs="Times New Roman"/>
        </w:rPr>
        <w:t>Le contexte théorique est fictif et n’est pas le fruit d’une revue de la littérature sur le sujet. Il a été créé dans un objectif pédagogique uniquement.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DB1"/>
    <w:multiLevelType w:val="hybridMultilevel"/>
    <w:tmpl w:val="66C0521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46CF2B46"/>
    <w:multiLevelType w:val="hybridMultilevel"/>
    <w:tmpl w:val="C1C08A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43815443">
    <w:abstractNumId w:val="1"/>
  </w:num>
  <w:num w:numId="2" w16cid:durableId="174047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8C"/>
    <w:rsid w:val="00294C8C"/>
    <w:rsid w:val="004A63E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1A68"/>
  <w15:chartTrackingRefBased/>
  <w15:docId w15:val="{71966EEC-CE3C-4DC4-A032-42EBB2C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C8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94C8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4C8C"/>
    <w:rPr>
      <w:sz w:val="20"/>
      <w:szCs w:val="20"/>
    </w:rPr>
  </w:style>
  <w:style w:type="character" w:styleId="Appelnotedebasdep">
    <w:name w:val="footnote reference"/>
    <w:basedOn w:val="Policepardfaut"/>
    <w:uiPriority w:val="99"/>
    <w:semiHidden/>
    <w:unhideWhenUsed/>
    <w:rsid w:val="00294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2119</Words>
  <Characters>11659</Characters>
  <Application>Microsoft Office Word</Application>
  <DocSecurity>0</DocSecurity>
  <Lines>97</Lines>
  <Paragraphs>27</Paragraphs>
  <ScaleCrop>false</ScaleCrop>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Michel-Alexandre Rioux</dc:creator>
  <cp:keywords/>
  <dc:description/>
  <cp:lastModifiedBy>Michel-Alexandre Rioux</cp:lastModifiedBy>
  <cp:revision>1</cp:revision>
  <dcterms:created xsi:type="dcterms:W3CDTF">2022-07-20T17:45:00Z</dcterms:created>
  <dcterms:modified xsi:type="dcterms:W3CDTF">2022-07-20T17:46:00Z</dcterms:modified>
</cp:coreProperties>
</file>