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B130" w14:textId="77777777" w:rsidR="00E95DE0" w:rsidRDefault="00E95DE0" w:rsidP="00E95DE0">
      <w:pPr>
        <w:rPr>
          <w:rFonts w:ascii="Times New Roman" w:hAnsi="Times New Roman" w:cs="Times New Roman"/>
          <w:sz w:val="24"/>
          <w:szCs w:val="24"/>
        </w:rPr>
      </w:pPr>
      <w:r>
        <w:rPr>
          <w:rFonts w:ascii="Times New Roman" w:hAnsi="Times New Roman" w:cs="Times New Roman"/>
          <w:b/>
          <w:bCs/>
          <w:sz w:val="24"/>
          <w:szCs w:val="24"/>
        </w:rPr>
        <w:t xml:space="preserve">Évaluation 4 : </w:t>
      </w:r>
      <w:r>
        <w:rPr>
          <w:rFonts w:ascii="Times New Roman" w:hAnsi="Times New Roman" w:cs="Times New Roman"/>
          <w:sz w:val="24"/>
          <w:szCs w:val="24"/>
        </w:rPr>
        <w:t xml:space="preserve">Journal de recherche </w:t>
      </w:r>
      <w:r w:rsidRPr="00596C64">
        <w:rPr>
          <w:rFonts w:ascii="Times New Roman" w:hAnsi="Times New Roman" w:cs="Times New Roman"/>
          <w:sz w:val="24"/>
          <w:szCs w:val="24"/>
        </w:rPr>
        <w:t>(30%)</w:t>
      </w:r>
    </w:p>
    <w:p w14:paraId="554040D3" w14:textId="77777777" w:rsidR="00E95DE0" w:rsidRDefault="00E95DE0" w:rsidP="00E95DE0">
      <w:pPr>
        <w:jc w:val="both"/>
        <w:rPr>
          <w:rFonts w:ascii="Times New Roman" w:hAnsi="Times New Roman" w:cs="Times New Roman"/>
          <w:sz w:val="24"/>
          <w:szCs w:val="24"/>
        </w:rPr>
      </w:pPr>
      <w:r>
        <w:rPr>
          <w:rFonts w:ascii="Times New Roman" w:hAnsi="Times New Roman" w:cs="Times New Roman"/>
          <w:b/>
          <w:bCs/>
          <w:sz w:val="24"/>
          <w:szCs w:val="24"/>
        </w:rPr>
        <w:t xml:space="preserve">Consigne : </w:t>
      </w:r>
      <w:r w:rsidRPr="009A49E7">
        <w:rPr>
          <w:rFonts w:ascii="Times New Roman" w:hAnsi="Times New Roman" w:cs="Times New Roman"/>
          <w:sz w:val="24"/>
          <w:szCs w:val="24"/>
        </w:rPr>
        <w:t>S’engager dans des interactions attentives, critiques, exploratoires et itératives avec ses pensées et ses actions (réflexivité)</w:t>
      </w:r>
      <w:r>
        <w:rPr>
          <w:rFonts w:ascii="Times New Roman" w:hAnsi="Times New Roman" w:cs="Times New Roman"/>
          <w:sz w:val="24"/>
          <w:szCs w:val="24"/>
        </w:rPr>
        <w:t xml:space="preserve">, est une compétence essentielle pour tout chercheur. L’une des manières de s’adonner à la réflexivité est par le biais de </w:t>
      </w:r>
      <w:r w:rsidRPr="00936F43">
        <w:rPr>
          <w:rFonts w:ascii="Times New Roman" w:hAnsi="Times New Roman" w:cs="Times New Roman"/>
          <w:sz w:val="24"/>
          <w:szCs w:val="24"/>
        </w:rPr>
        <w:t>l’écriture réflexive.</w:t>
      </w:r>
      <w:r>
        <w:rPr>
          <w:rFonts w:ascii="Times New Roman" w:hAnsi="Times New Roman" w:cs="Times New Roman"/>
          <w:sz w:val="24"/>
          <w:szCs w:val="24"/>
        </w:rPr>
        <w:t xml:space="preserve"> Elle permet entre autres choses </w:t>
      </w:r>
      <w:r w:rsidRPr="00517C82">
        <w:rPr>
          <w:rFonts w:ascii="Times New Roman" w:hAnsi="Times New Roman" w:cs="Times New Roman"/>
          <w:sz w:val="24"/>
          <w:szCs w:val="24"/>
        </w:rPr>
        <w:t>« de mettre à distance, de transformer des représentations, de se relire et de prendre conscience de son propre développement, de se compléter »</w:t>
      </w:r>
      <w:r>
        <w:rPr>
          <w:rFonts w:ascii="Times New Roman" w:hAnsi="Times New Roman" w:cs="Times New Roman"/>
          <w:sz w:val="24"/>
          <w:szCs w:val="24"/>
        </w:rPr>
        <w:t xml:space="preserve"> </w:t>
      </w:r>
      <w:r w:rsidRPr="00E2799A">
        <w:rPr>
          <w:rFonts w:ascii="Times New Roman" w:hAnsi="Times New Roman" w:cs="Times New Roman"/>
          <w:sz w:val="24"/>
          <w:szCs w:val="24"/>
        </w:rPr>
        <w:t>(Deum, 2004, p. 6)</w:t>
      </w:r>
      <w:r>
        <w:rPr>
          <w:rFonts w:ascii="Times New Roman" w:hAnsi="Times New Roman" w:cs="Times New Roman"/>
          <w:sz w:val="24"/>
          <w:szCs w:val="24"/>
        </w:rPr>
        <w:t xml:space="preserve">. À la fin de chaque module, veuillez répondre aux questions qui vous sont proposées dans la section « À écrire ! » dans votre journal de recherche. L’objectif n’est pas de trouver ou d’identifier LA bonne réponse, mais de vous permettre de réfléchir librement sur les questions posées et d’exposer votre processus réflexif sous-tendant vos réponses. </w:t>
      </w:r>
    </w:p>
    <w:p w14:paraId="1D03B5F2" w14:textId="77777777" w:rsidR="00E95DE0" w:rsidRPr="00C26255" w:rsidRDefault="00E95DE0" w:rsidP="00E95DE0">
      <w:pPr>
        <w:jc w:val="both"/>
        <w:rPr>
          <w:rFonts w:ascii="Times New Roman" w:hAnsi="Times New Roman" w:cs="Times New Roman"/>
          <w:sz w:val="24"/>
          <w:szCs w:val="24"/>
        </w:rPr>
      </w:pPr>
      <w:r w:rsidRPr="00C26255">
        <w:rPr>
          <w:rFonts w:ascii="Times New Roman" w:hAnsi="Times New Roman" w:cs="Times New Roman"/>
          <w:sz w:val="24"/>
          <w:szCs w:val="24"/>
        </w:rPr>
        <w:t xml:space="preserve">C’est dans l’objectif de vous permettre </w:t>
      </w:r>
      <w:r>
        <w:rPr>
          <w:rFonts w:ascii="Times New Roman" w:hAnsi="Times New Roman" w:cs="Times New Roman"/>
          <w:sz w:val="24"/>
          <w:szCs w:val="24"/>
        </w:rPr>
        <w:t xml:space="preserve">un espace d’élaboration et de réflexion </w:t>
      </w:r>
      <w:r w:rsidRPr="00C26255">
        <w:rPr>
          <w:rFonts w:ascii="Times New Roman" w:hAnsi="Times New Roman" w:cs="Times New Roman"/>
          <w:sz w:val="24"/>
          <w:szCs w:val="24"/>
        </w:rPr>
        <w:t xml:space="preserve">que cette évaluation a été </w:t>
      </w:r>
      <w:r>
        <w:rPr>
          <w:rFonts w:ascii="Times New Roman" w:hAnsi="Times New Roman" w:cs="Times New Roman"/>
          <w:sz w:val="24"/>
          <w:szCs w:val="24"/>
        </w:rPr>
        <w:t>conçue</w:t>
      </w:r>
      <w:r w:rsidRPr="00C26255">
        <w:rPr>
          <w:rFonts w:ascii="Times New Roman" w:hAnsi="Times New Roman" w:cs="Times New Roman"/>
          <w:sz w:val="24"/>
          <w:szCs w:val="24"/>
        </w:rPr>
        <w:t xml:space="preserve">. Vous serez donc amenés à </w:t>
      </w:r>
      <w:r>
        <w:rPr>
          <w:rFonts w:ascii="Times New Roman" w:hAnsi="Times New Roman" w:cs="Times New Roman"/>
          <w:sz w:val="24"/>
          <w:szCs w:val="24"/>
        </w:rPr>
        <w:t xml:space="preserve">réfléchir et à vous </w:t>
      </w:r>
      <w:r w:rsidRPr="00C26255">
        <w:rPr>
          <w:rFonts w:ascii="Times New Roman" w:hAnsi="Times New Roman" w:cs="Times New Roman"/>
          <w:sz w:val="24"/>
          <w:szCs w:val="24"/>
        </w:rPr>
        <w:t>positionne</w:t>
      </w:r>
      <w:r>
        <w:rPr>
          <w:rFonts w:ascii="Times New Roman" w:hAnsi="Times New Roman" w:cs="Times New Roman"/>
          <w:sz w:val="24"/>
          <w:szCs w:val="24"/>
        </w:rPr>
        <w:t>r</w:t>
      </w:r>
      <w:r w:rsidRPr="00C26255">
        <w:rPr>
          <w:rFonts w:ascii="Times New Roman" w:hAnsi="Times New Roman" w:cs="Times New Roman"/>
          <w:sz w:val="24"/>
          <w:szCs w:val="24"/>
        </w:rPr>
        <w:t xml:space="preserve"> par rapport </w:t>
      </w:r>
      <w:r>
        <w:rPr>
          <w:rFonts w:ascii="Times New Roman" w:hAnsi="Times New Roman" w:cs="Times New Roman"/>
          <w:sz w:val="24"/>
          <w:szCs w:val="24"/>
        </w:rPr>
        <w:t>à différents enjeux méthodologiques et conceptuels propres à votre projet de recherche</w:t>
      </w:r>
      <w:r w:rsidRPr="00C26255">
        <w:rPr>
          <w:rFonts w:ascii="Times New Roman" w:hAnsi="Times New Roman" w:cs="Times New Roman"/>
          <w:sz w:val="24"/>
          <w:szCs w:val="24"/>
        </w:rPr>
        <w:t xml:space="preserve">. Cela pourrait permettre </w:t>
      </w:r>
      <w:r>
        <w:rPr>
          <w:rFonts w:ascii="Times New Roman" w:hAnsi="Times New Roman" w:cs="Times New Roman"/>
          <w:sz w:val="24"/>
          <w:szCs w:val="24"/>
        </w:rPr>
        <w:t xml:space="preserve">de favoriser la cohérence de votre projet et de mieux l’argumenter. </w:t>
      </w:r>
      <w:r w:rsidRPr="00C26255">
        <w:rPr>
          <w:rFonts w:ascii="Times New Roman" w:hAnsi="Times New Roman" w:cs="Times New Roman"/>
          <w:sz w:val="24"/>
          <w:szCs w:val="24"/>
        </w:rPr>
        <w:t xml:space="preserve">La personne chargée d’enseignement portera son jugement sur la qualité de </w:t>
      </w:r>
      <w:r>
        <w:rPr>
          <w:rFonts w:ascii="Times New Roman" w:hAnsi="Times New Roman" w:cs="Times New Roman"/>
          <w:sz w:val="24"/>
          <w:szCs w:val="24"/>
        </w:rPr>
        <w:t>votre processus réflexif.</w:t>
      </w:r>
      <w:r w:rsidRPr="00C26255">
        <w:rPr>
          <w:rFonts w:ascii="Times New Roman" w:hAnsi="Times New Roman" w:cs="Times New Roman"/>
          <w:sz w:val="24"/>
          <w:szCs w:val="24"/>
        </w:rPr>
        <w:t xml:space="preserve"> </w:t>
      </w:r>
    </w:p>
    <w:p w14:paraId="3267CFD8" w14:textId="77777777" w:rsidR="00E95DE0" w:rsidRDefault="00E95DE0" w:rsidP="00E95DE0">
      <w:pPr>
        <w:rPr>
          <w:rFonts w:ascii="Times New Roman" w:hAnsi="Times New Roman" w:cs="Times New Roman"/>
          <w:b/>
          <w:bCs/>
          <w:sz w:val="24"/>
          <w:szCs w:val="24"/>
        </w:rPr>
      </w:pPr>
      <w:r>
        <w:rPr>
          <w:rFonts w:ascii="Times New Roman" w:hAnsi="Times New Roman" w:cs="Times New Roman"/>
          <w:b/>
          <w:bCs/>
          <w:sz w:val="24"/>
          <w:szCs w:val="24"/>
        </w:rPr>
        <w:t>Grille d’évaluation :</w:t>
      </w:r>
    </w:p>
    <w:p w14:paraId="539D5D85" w14:textId="77777777" w:rsidR="00E95DE0" w:rsidRDefault="00E95DE0" w:rsidP="00E95DE0">
      <w:pPr>
        <w:pStyle w:val="Lgende"/>
        <w:keepNext/>
      </w:pPr>
      <w:r>
        <w:t xml:space="preserve">Tableau </w:t>
      </w:r>
      <w:r>
        <w:fldChar w:fldCharType="begin"/>
      </w:r>
      <w:r>
        <w:instrText xml:space="preserve"> SEQ Tableau \* ARABIC </w:instrText>
      </w:r>
      <w:r>
        <w:fldChar w:fldCharType="separate"/>
      </w:r>
      <w:r>
        <w:rPr>
          <w:noProof/>
        </w:rPr>
        <w:t>2</w:t>
      </w:r>
      <w:r>
        <w:rPr>
          <w:noProof/>
        </w:rPr>
        <w:fldChar w:fldCharType="end"/>
      </w:r>
      <w:r>
        <w:t xml:space="preserve">: Grille adaptée de la grille REFLECT traduite en français par </w:t>
      </w:r>
      <w:proofErr w:type="spellStart"/>
      <w:r>
        <w:t>Onaisi</w:t>
      </w:r>
      <w:proofErr w:type="spellEnd"/>
      <w:r>
        <w:t xml:space="preserve"> (2019)</w:t>
      </w:r>
    </w:p>
    <w:tbl>
      <w:tblPr>
        <w:tblStyle w:val="Grilledutableau"/>
        <w:tblW w:w="0" w:type="auto"/>
        <w:tblLook w:val="04A0" w:firstRow="1" w:lastRow="0" w:firstColumn="1" w:lastColumn="0" w:noHBand="0" w:noVBand="1"/>
      </w:tblPr>
      <w:tblGrid>
        <w:gridCol w:w="1902"/>
        <w:gridCol w:w="1661"/>
        <w:gridCol w:w="1661"/>
        <w:gridCol w:w="1661"/>
        <w:gridCol w:w="2466"/>
      </w:tblGrid>
      <w:tr w:rsidR="00E95DE0" w:rsidRPr="00E53752" w14:paraId="3B5966D6" w14:textId="77777777" w:rsidTr="00E96B8C">
        <w:tc>
          <w:tcPr>
            <w:tcW w:w="1902" w:type="dxa"/>
            <w:shd w:val="clear" w:color="auto" w:fill="A6A6A6" w:themeFill="background1" w:themeFillShade="A6"/>
          </w:tcPr>
          <w:p w14:paraId="57199F2A" w14:textId="77777777" w:rsidR="00E95DE0" w:rsidRPr="00E53752" w:rsidRDefault="00E95DE0" w:rsidP="00E96B8C">
            <w:pPr>
              <w:jc w:val="center"/>
              <w:rPr>
                <w:rFonts w:ascii="Times New Roman" w:hAnsi="Times New Roman" w:cs="Times New Roman"/>
                <w:b/>
                <w:bCs/>
                <w:sz w:val="20"/>
                <w:szCs w:val="20"/>
              </w:rPr>
            </w:pPr>
            <w:r w:rsidRPr="00E53752">
              <w:rPr>
                <w:rFonts w:ascii="Times New Roman" w:hAnsi="Times New Roman" w:cs="Times New Roman"/>
                <w:b/>
                <w:bCs/>
                <w:sz w:val="20"/>
                <w:szCs w:val="20"/>
              </w:rPr>
              <w:t>Critères</w:t>
            </w:r>
          </w:p>
        </w:tc>
        <w:tc>
          <w:tcPr>
            <w:tcW w:w="7449" w:type="dxa"/>
            <w:gridSpan w:val="4"/>
            <w:shd w:val="clear" w:color="auto" w:fill="A6A6A6" w:themeFill="background1" w:themeFillShade="A6"/>
          </w:tcPr>
          <w:p w14:paraId="0CFC0506" w14:textId="77777777" w:rsidR="00E95DE0" w:rsidRPr="00E53752" w:rsidRDefault="00E95DE0" w:rsidP="00E96B8C">
            <w:pPr>
              <w:jc w:val="center"/>
              <w:rPr>
                <w:rFonts w:ascii="Times New Roman" w:hAnsi="Times New Roman" w:cs="Times New Roman"/>
                <w:b/>
                <w:bCs/>
                <w:sz w:val="20"/>
                <w:szCs w:val="20"/>
              </w:rPr>
            </w:pPr>
            <w:r w:rsidRPr="00E53752">
              <w:rPr>
                <w:rFonts w:ascii="Times New Roman" w:hAnsi="Times New Roman" w:cs="Times New Roman"/>
                <w:b/>
                <w:bCs/>
                <w:sz w:val="20"/>
                <w:szCs w:val="20"/>
              </w:rPr>
              <w:t>Échelles</w:t>
            </w:r>
          </w:p>
        </w:tc>
      </w:tr>
      <w:tr w:rsidR="00E95DE0" w:rsidRPr="00E53752" w14:paraId="33B414D3" w14:textId="77777777" w:rsidTr="00E96B8C">
        <w:tc>
          <w:tcPr>
            <w:tcW w:w="1902" w:type="dxa"/>
            <w:shd w:val="clear" w:color="auto" w:fill="BFBFBF" w:themeFill="background1" w:themeFillShade="BF"/>
          </w:tcPr>
          <w:p w14:paraId="6FCAE74C" w14:textId="77777777" w:rsidR="00E95DE0" w:rsidRPr="00E53752" w:rsidRDefault="00E95DE0" w:rsidP="00E96B8C">
            <w:pPr>
              <w:rPr>
                <w:rFonts w:ascii="Times New Roman" w:hAnsi="Times New Roman" w:cs="Times New Roman"/>
                <w:sz w:val="20"/>
                <w:szCs w:val="20"/>
              </w:rPr>
            </w:pPr>
          </w:p>
        </w:tc>
        <w:tc>
          <w:tcPr>
            <w:tcW w:w="1661" w:type="dxa"/>
            <w:shd w:val="clear" w:color="auto" w:fill="BFBFBF" w:themeFill="background1" w:themeFillShade="BF"/>
          </w:tcPr>
          <w:p w14:paraId="56183A5B"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Niveau</w:t>
            </w:r>
          </w:p>
          <w:p w14:paraId="7A8396B0"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1</w:t>
            </w:r>
          </w:p>
          <w:p w14:paraId="2538D1C7"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Absence de réflexion sur les questions méthodologiques et conceptuelles proposées</w:t>
            </w:r>
          </w:p>
        </w:tc>
        <w:tc>
          <w:tcPr>
            <w:tcW w:w="1661" w:type="dxa"/>
            <w:shd w:val="clear" w:color="auto" w:fill="BFBFBF" w:themeFill="background1" w:themeFillShade="BF"/>
          </w:tcPr>
          <w:p w14:paraId="0FD4923E"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Niveau</w:t>
            </w:r>
          </w:p>
          <w:p w14:paraId="68FB0AEB"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2</w:t>
            </w:r>
          </w:p>
          <w:p w14:paraId="01DED4A2"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Ébauche de réflexion sur les questions méthodologiques et conceptuelles proposées</w:t>
            </w:r>
          </w:p>
        </w:tc>
        <w:tc>
          <w:tcPr>
            <w:tcW w:w="1661" w:type="dxa"/>
            <w:shd w:val="clear" w:color="auto" w:fill="BFBFBF" w:themeFill="background1" w:themeFillShade="BF"/>
          </w:tcPr>
          <w:p w14:paraId="5C8FF69C"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Niveau</w:t>
            </w:r>
          </w:p>
          <w:p w14:paraId="19F49B83"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3</w:t>
            </w:r>
          </w:p>
          <w:p w14:paraId="57FEBD17"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Réflexion sur les questions méthodologiques et conceptuelles proposées</w:t>
            </w:r>
          </w:p>
        </w:tc>
        <w:tc>
          <w:tcPr>
            <w:tcW w:w="2466" w:type="dxa"/>
            <w:shd w:val="clear" w:color="auto" w:fill="BFBFBF" w:themeFill="background1" w:themeFillShade="BF"/>
          </w:tcPr>
          <w:p w14:paraId="62A906A7"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Niveau</w:t>
            </w:r>
          </w:p>
          <w:p w14:paraId="097112B5"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4</w:t>
            </w:r>
          </w:p>
          <w:p w14:paraId="51E75BA8"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Réflexion approfondie sur les questions méthodologiques et conceptuelles proposées</w:t>
            </w:r>
          </w:p>
        </w:tc>
      </w:tr>
      <w:tr w:rsidR="00E95DE0" w:rsidRPr="00E53752" w14:paraId="5FE6D8DC" w14:textId="77777777" w:rsidTr="00E96B8C">
        <w:tc>
          <w:tcPr>
            <w:tcW w:w="1902" w:type="dxa"/>
          </w:tcPr>
          <w:p w14:paraId="1E8F9F7F"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Profondeur de l’élaboration sur les questions méthodologiques et conceptuelles proposées</w:t>
            </w:r>
          </w:p>
        </w:tc>
        <w:tc>
          <w:tcPr>
            <w:tcW w:w="1661" w:type="dxa"/>
          </w:tcPr>
          <w:p w14:paraId="06E69180"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 xml:space="preserve">Élaboration superficielle sans réflexion ou introspection </w:t>
            </w:r>
          </w:p>
        </w:tc>
        <w:tc>
          <w:tcPr>
            <w:tcW w:w="1661" w:type="dxa"/>
          </w:tcPr>
          <w:p w14:paraId="56687E1E"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 xml:space="preserve">Élaboration détaillée sans réflexion ou introspection </w:t>
            </w:r>
          </w:p>
        </w:tc>
        <w:tc>
          <w:tcPr>
            <w:tcW w:w="1661" w:type="dxa"/>
          </w:tcPr>
          <w:p w14:paraId="01BB1B98"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Élaboration au-delà du rapport de fait (tentative de compréhension, de remise en question)</w:t>
            </w:r>
          </w:p>
        </w:tc>
        <w:tc>
          <w:tcPr>
            <w:tcW w:w="2466" w:type="dxa"/>
          </w:tcPr>
          <w:p w14:paraId="021E4FC5"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Élaboration permettant l’exploration et la critiques des préjugés, croyances et biais et des conséquences des décisions méthodologiques et conceptuelles pour la suite de la démarche de recherche.</w:t>
            </w:r>
          </w:p>
        </w:tc>
      </w:tr>
      <w:tr w:rsidR="00E95DE0" w:rsidRPr="00E53752" w14:paraId="66FD8D7E" w14:textId="77777777" w:rsidTr="00E96B8C">
        <w:trPr>
          <w:trHeight w:val="228"/>
        </w:trPr>
        <w:tc>
          <w:tcPr>
            <w:tcW w:w="1902" w:type="dxa"/>
          </w:tcPr>
          <w:p w14:paraId="361A6BC6"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Implication de l’auteur</w:t>
            </w:r>
          </w:p>
        </w:tc>
        <w:tc>
          <w:tcPr>
            <w:tcW w:w="1661" w:type="dxa"/>
          </w:tcPr>
          <w:p w14:paraId="2EA566CB"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Impression que l’élaboration est impersonnelle, l’auteur étant peu ou pas impliqué</w:t>
            </w:r>
          </w:p>
        </w:tc>
        <w:tc>
          <w:tcPr>
            <w:tcW w:w="1661" w:type="dxa"/>
          </w:tcPr>
          <w:p w14:paraId="1A6547C0"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Impression que l’auteur n’est que partiellement impliqué dans l’élaboration</w:t>
            </w:r>
          </w:p>
        </w:tc>
        <w:tc>
          <w:tcPr>
            <w:tcW w:w="1661" w:type="dxa"/>
          </w:tcPr>
          <w:p w14:paraId="3A7E4799"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Impression que l’auteur est largement impliqué dans l’élaboration, ce qui permet d’accéder à ses pensées</w:t>
            </w:r>
          </w:p>
        </w:tc>
        <w:tc>
          <w:tcPr>
            <w:tcW w:w="2466" w:type="dxa"/>
          </w:tcPr>
          <w:p w14:paraId="198D90ED"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Impression que l’auteur est pleinement impliqué dans l’élaboration</w:t>
            </w:r>
          </w:p>
        </w:tc>
      </w:tr>
      <w:tr w:rsidR="00E95DE0" w:rsidRPr="00E53752" w14:paraId="35C96BB2" w14:textId="77777777" w:rsidTr="00E96B8C">
        <w:trPr>
          <w:trHeight w:val="120"/>
        </w:trPr>
        <w:tc>
          <w:tcPr>
            <w:tcW w:w="1902" w:type="dxa"/>
          </w:tcPr>
          <w:p w14:paraId="2829F9DC"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 xml:space="preserve">Description des enjeux et des implications </w:t>
            </w:r>
            <w:r w:rsidRPr="00E53752">
              <w:rPr>
                <w:rFonts w:ascii="Times New Roman" w:hAnsi="Times New Roman" w:cs="Times New Roman"/>
                <w:b/>
                <w:bCs/>
                <w:sz w:val="20"/>
                <w:szCs w:val="20"/>
              </w:rPr>
              <w:lastRenderedPageBreak/>
              <w:t>méthodologiques et conceptuelles</w:t>
            </w:r>
          </w:p>
        </w:tc>
        <w:tc>
          <w:tcPr>
            <w:tcW w:w="1661" w:type="dxa"/>
          </w:tcPr>
          <w:p w14:paraId="6D6333A7"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lastRenderedPageBreak/>
              <w:t xml:space="preserve">Aucune description des enjeux et des implications </w:t>
            </w:r>
            <w:r w:rsidRPr="00E53752">
              <w:rPr>
                <w:rFonts w:ascii="Times New Roman" w:hAnsi="Times New Roman" w:cs="Times New Roman"/>
                <w:sz w:val="20"/>
                <w:szCs w:val="20"/>
              </w:rPr>
              <w:lastRenderedPageBreak/>
              <w:t>méthodologiques et conceptuelles soulevés par les questions proposées (p.ex., réponse unique présentée comme seule vérité)</w:t>
            </w:r>
          </w:p>
        </w:tc>
        <w:tc>
          <w:tcPr>
            <w:tcW w:w="1661" w:type="dxa"/>
          </w:tcPr>
          <w:p w14:paraId="11C1797E"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lastRenderedPageBreak/>
              <w:t xml:space="preserve">Description insuffisante des enjeux et des implications </w:t>
            </w:r>
            <w:r w:rsidRPr="00E53752">
              <w:rPr>
                <w:rFonts w:ascii="Times New Roman" w:hAnsi="Times New Roman" w:cs="Times New Roman"/>
                <w:sz w:val="20"/>
                <w:szCs w:val="20"/>
              </w:rPr>
              <w:lastRenderedPageBreak/>
              <w:t>méthodologiques et conceptuelles soulevée par les questions proposées.</w:t>
            </w:r>
          </w:p>
        </w:tc>
        <w:tc>
          <w:tcPr>
            <w:tcW w:w="1661" w:type="dxa"/>
          </w:tcPr>
          <w:p w14:paraId="465E98EF"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lastRenderedPageBreak/>
              <w:t xml:space="preserve">Description détaillée des enjeux et des implications </w:t>
            </w:r>
            <w:r w:rsidRPr="00E53752">
              <w:rPr>
                <w:rFonts w:ascii="Times New Roman" w:hAnsi="Times New Roman" w:cs="Times New Roman"/>
                <w:sz w:val="20"/>
                <w:szCs w:val="20"/>
              </w:rPr>
              <w:lastRenderedPageBreak/>
              <w:t>méthodologiques et conceptuelles soulevés par les questions proposées</w:t>
            </w:r>
          </w:p>
        </w:tc>
        <w:tc>
          <w:tcPr>
            <w:tcW w:w="2466" w:type="dxa"/>
          </w:tcPr>
          <w:p w14:paraId="361DF193"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lastRenderedPageBreak/>
              <w:t xml:space="preserve">Description complète des enjeux et des implications méthodologiques et conceptuelles soulevées par </w:t>
            </w:r>
            <w:r w:rsidRPr="00E53752">
              <w:rPr>
                <w:rFonts w:ascii="Times New Roman" w:hAnsi="Times New Roman" w:cs="Times New Roman"/>
                <w:sz w:val="20"/>
                <w:szCs w:val="20"/>
              </w:rPr>
              <w:lastRenderedPageBreak/>
              <w:t>les questions proposées avec présentation de plusieurs perspectives, recherche de différentes explications.</w:t>
            </w:r>
          </w:p>
        </w:tc>
      </w:tr>
      <w:tr w:rsidR="00E95DE0" w:rsidRPr="00E53752" w14:paraId="6B85A70C" w14:textId="77777777" w:rsidTr="00E96B8C">
        <w:trPr>
          <w:trHeight w:val="120"/>
        </w:trPr>
        <w:tc>
          <w:tcPr>
            <w:tcW w:w="1902" w:type="dxa"/>
          </w:tcPr>
          <w:p w14:paraId="0B355699"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lastRenderedPageBreak/>
              <w:t>Analyse et recherche de sens</w:t>
            </w:r>
            <w:r>
              <w:rPr>
                <w:rStyle w:val="Appelnotedebasdep"/>
                <w:rFonts w:ascii="Times New Roman" w:hAnsi="Times New Roman" w:cs="Times New Roman"/>
                <w:b/>
                <w:bCs/>
                <w:sz w:val="20"/>
                <w:szCs w:val="20"/>
              </w:rPr>
              <w:footnoteReference w:id="1"/>
            </w:r>
          </w:p>
        </w:tc>
        <w:tc>
          <w:tcPr>
            <w:tcW w:w="1661" w:type="dxa"/>
          </w:tcPr>
          <w:p w14:paraId="1847D146" w14:textId="77777777" w:rsidR="00E95DE0" w:rsidRPr="00C603BF" w:rsidRDefault="00E95DE0" w:rsidP="00E96B8C">
            <w:pPr>
              <w:rPr>
                <w:rFonts w:ascii="Times New Roman" w:hAnsi="Times New Roman" w:cs="Times New Roman"/>
                <w:sz w:val="20"/>
                <w:szCs w:val="20"/>
              </w:rPr>
            </w:pPr>
            <w:r w:rsidRPr="00C603BF">
              <w:rPr>
                <w:rFonts w:ascii="Times New Roman" w:hAnsi="Times New Roman" w:cs="Times New Roman"/>
                <w:sz w:val="20"/>
                <w:szCs w:val="20"/>
              </w:rPr>
              <w:t>Aucune analyse ou recherche de sens</w:t>
            </w:r>
          </w:p>
        </w:tc>
        <w:tc>
          <w:tcPr>
            <w:tcW w:w="1661" w:type="dxa"/>
          </w:tcPr>
          <w:p w14:paraId="16342BEB" w14:textId="77777777" w:rsidR="00E95DE0" w:rsidRPr="00C603BF" w:rsidRDefault="00E95DE0" w:rsidP="00E96B8C">
            <w:pPr>
              <w:rPr>
                <w:rFonts w:ascii="Times New Roman" w:hAnsi="Times New Roman" w:cs="Times New Roman"/>
                <w:sz w:val="20"/>
                <w:szCs w:val="20"/>
              </w:rPr>
            </w:pPr>
            <w:r w:rsidRPr="00C603BF">
              <w:rPr>
                <w:rFonts w:ascii="Times New Roman" w:hAnsi="Times New Roman" w:cs="Times New Roman"/>
                <w:sz w:val="20"/>
                <w:szCs w:val="20"/>
              </w:rPr>
              <w:t>Ébauche d’analyse et de recherche de sens</w:t>
            </w:r>
          </w:p>
        </w:tc>
        <w:tc>
          <w:tcPr>
            <w:tcW w:w="1661" w:type="dxa"/>
          </w:tcPr>
          <w:p w14:paraId="6A85A6C4" w14:textId="77777777" w:rsidR="00E95DE0" w:rsidRPr="00C603BF" w:rsidRDefault="00E95DE0" w:rsidP="00E96B8C">
            <w:pPr>
              <w:rPr>
                <w:rFonts w:ascii="Times New Roman" w:hAnsi="Times New Roman" w:cs="Times New Roman"/>
                <w:sz w:val="20"/>
                <w:szCs w:val="20"/>
              </w:rPr>
            </w:pPr>
            <w:r w:rsidRPr="00C603BF">
              <w:rPr>
                <w:rFonts w:ascii="Times New Roman" w:hAnsi="Times New Roman" w:cs="Times New Roman"/>
                <w:sz w:val="20"/>
                <w:szCs w:val="20"/>
              </w:rPr>
              <w:t>Analyse et recherche de sens incomplètes</w:t>
            </w:r>
          </w:p>
        </w:tc>
        <w:tc>
          <w:tcPr>
            <w:tcW w:w="2466" w:type="dxa"/>
          </w:tcPr>
          <w:p w14:paraId="245BA996" w14:textId="77777777" w:rsidR="00E95DE0" w:rsidRPr="00C603BF" w:rsidRDefault="00E95DE0" w:rsidP="00E96B8C">
            <w:pPr>
              <w:rPr>
                <w:rFonts w:ascii="Times New Roman" w:hAnsi="Times New Roman" w:cs="Times New Roman"/>
                <w:sz w:val="20"/>
                <w:szCs w:val="20"/>
              </w:rPr>
            </w:pPr>
            <w:r w:rsidRPr="00C603BF">
              <w:rPr>
                <w:rFonts w:ascii="Times New Roman" w:hAnsi="Times New Roman" w:cs="Times New Roman"/>
                <w:sz w:val="20"/>
                <w:szCs w:val="20"/>
              </w:rPr>
              <w:t>Analyse et recherche de sens complètes et approfondies</w:t>
            </w:r>
          </w:p>
        </w:tc>
      </w:tr>
      <w:tr w:rsidR="00E95DE0" w:rsidRPr="00E53752" w14:paraId="7D300F5E" w14:textId="77777777" w:rsidTr="00E96B8C">
        <w:tc>
          <w:tcPr>
            <w:tcW w:w="1902" w:type="dxa"/>
          </w:tcPr>
          <w:p w14:paraId="0166631C" w14:textId="77777777" w:rsidR="00E95DE0" w:rsidRPr="00E53752" w:rsidRDefault="00E95DE0" w:rsidP="00E96B8C">
            <w:pPr>
              <w:rPr>
                <w:rFonts w:ascii="Times New Roman" w:hAnsi="Times New Roman" w:cs="Times New Roman"/>
                <w:b/>
                <w:bCs/>
                <w:sz w:val="20"/>
                <w:szCs w:val="20"/>
              </w:rPr>
            </w:pPr>
            <w:r w:rsidRPr="00E53752">
              <w:rPr>
                <w:rFonts w:ascii="Times New Roman" w:hAnsi="Times New Roman" w:cs="Times New Roman"/>
                <w:b/>
                <w:bCs/>
                <w:sz w:val="20"/>
                <w:szCs w:val="20"/>
              </w:rPr>
              <w:t>Réponses (élaboration) aux questions proposées</w:t>
            </w:r>
          </w:p>
        </w:tc>
        <w:tc>
          <w:tcPr>
            <w:tcW w:w="1661" w:type="dxa"/>
          </w:tcPr>
          <w:p w14:paraId="4FF4E471"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Aucune des questions soumises ne font l’objet d’une élaboration</w:t>
            </w:r>
          </w:p>
        </w:tc>
        <w:tc>
          <w:tcPr>
            <w:tcW w:w="1661" w:type="dxa"/>
          </w:tcPr>
          <w:p w14:paraId="00EC9088"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Seulement quelques questions soumises font l’objet d’une élaboration</w:t>
            </w:r>
          </w:p>
        </w:tc>
        <w:tc>
          <w:tcPr>
            <w:tcW w:w="1661" w:type="dxa"/>
          </w:tcPr>
          <w:p w14:paraId="0E71694E"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La plupart des questions soumises font l’objet d’une élaboration</w:t>
            </w:r>
          </w:p>
        </w:tc>
        <w:tc>
          <w:tcPr>
            <w:tcW w:w="2466" w:type="dxa"/>
          </w:tcPr>
          <w:p w14:paraId="2FE19C25" w14:textId="77777777" w:rsidR="00E95DE0" w:rsidRPr="00E53752" w:rsidRDefault="00E95DE0" w:rsidP="00E96B8C">
            <w:pPr>
              <w:rPr>
                <w:rFonts w:ascii="Times New Roman" w:hAnsi="Times New Roman" w:cs="Times New Roman"/>
                <w:sz w:val="20"/>
                <w:szCs w:val="20"/>
              </w:rPr>
            </w:pPr>
            <w:r w:rsidRPr="00E53752">
              <w:rPr>
                <w:rFonts w:ascii="Times New Roman" w:hAnsi="Times New Roman" w:cs="Times New Roman"/>
                <w:sz w:val="20"/>
                <w:szCs w:val="20"/>
              </w:rPr>
              <w:t>Chacune des questions soumises f</w:t>
            </w:r>
            <w:r>
              <w:rPr>
                <w:rFonts w:ascii="Times New Roman" w:hAnsi="Times New Roman" w:cs="Times New Roman"/>
                <w:sz w:val="20"/>
                <w:szCs w:val="20"/>
              </w:rPr>
              <w:t>ai</w:t>
            </w:r>
            <w:r w:rsidRPr="00E53752">
              <w:rPr>
                <w:rFonts w:ascii="Times New Roman" w:hAnsi="Times New Roman" w:cs="Times New Roman"/>
                <w:sz w:val="20"/>
                <w:szCs w:val="20"/>
              </w:rPr>
              <w:t>t l’objet d’une élaboration</w:t>
            </w:r>
          </w:p>
        </w:tc>
      </w:tr>
    </w:tbl>
    <w:p w14:paraId="48996077" w14:textId="77777777" w:rsidR="004A63E0" w:rsidRDefault="004A63E0"/>
    <w:sectPr w:rsidR="004A63E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365E" w14:textId="77777777" w:rsidR="00E95DE0" w:rsidRDefault="00E95DE0" w:rsidP="00E95DE0">
      <w:pPr>
        <w:spacing w:after="0" w:line="240" w:lineRule="auto"/>
      </w:pPr>
      <w:r>
        <w:separator/>
      </w:r>
    </w:p>
  </w:endnote>
  <w:endnote w:type="continuationSeparator" w:id="0">
    <w:p w14:paraId="3687EEBE" w14:textId="77777777" w:rsidR="00E95DE0" w:rsidRDefault="00E95DE0" w:rsidP="00E9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358A" w14:textId="77777777" w:rsidR="00E95DE0" w:rsidRDefault="00E95DE0" w:rsidP="00E95DE0">
      <w:pPr>
        <w:spacing w:after="0" w:line="240" w:lineRule="auto"/>
      </w:pPr>
      <w:r>
        <w:separator/>
      </w:r>
    </w:p>
  </w:footnote>
  <w:footnote w:type="continuationSeparator" w:id="0">
    <w:p w14:paraId="519859C5" w14:textId="77777777" w:rsidR="00E95DE0" w:rsidRDefault="00E95DE0" w:rsidP="00E95DE0">
      <w:pPr>
        <w:spacing w:after="0" w:line="240" w:lineRule="auto"/>
      </w:pPr>
      <w:r>
        <w:continuationSeparator/>
      </w:r>
    </w:p>
  </w:footnote>
  <w:footnote w:id="1">
    <w:p w14:paraId="37CA7C20" w14:textId="77777777" w:rsidR="00E95DE0" w:rsidRPr="00C603BF" w:rsidRDefault="00E95DE0" w:rsidP="00E95DE0">
      <w:pPr>
        <w:pStyle w:val="Notedebasdepage"/>
        <w:jc w:val="both"/>
        <w:rPr>
          <w:rFonts w:ascii="Times New Roman" w:hAnsi="Times New Roman" w:cs="Times New Roman"/>
        </w:rPr>
      </w:pPr>
      <w:r>
        <w:rPr>
          <w:rStyle w:val="Appelnotedebasdep"/>
        </w:rPr>
        <w:footnoteRef/>
      </w:r>
      <w:r>
        <w:t xml:space="preserve"> </w:t>
      </w:r>
      <w:r w:rsidRPr="00C603BF">
        <w:rPr>
          <w:rFonts w:ascii="Times New Roman" w:hAnsi="Times New Roman" w:cs="Times New Roman"/>
        </w:rPr>
        <w:t>Recherche de sens : L’analyse du questionnement méthodologique et conceptuel doit permettre de donner une signification personnelle, contribuant ainsi à une meilleure compréhension de sa propre démarche de recherche.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E0"/>
    <w:rsid w:val="004A63E0"/>
    <w:rsid w:val="00E95D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5926"/>
  <w15:chartTrackingRefBased/>
  <w15:docId w15:val="{88C5AAB4-09BD-44CC-9C11-3B5C4150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9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95D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5DE0"/>
    <w:rPr>
      <w:sz w:val="20"/>
      <w:szCs w:val="20"/>
    </w:rPr>
  </w:style>
  <w:style w:type="character" w:styleId="Appelnotedebasdep">
    <w:name w:val="footnote reference"/>
    <w:basedOn w:val="Policepardfaut"/>
    <w:uiPriority w:val="99"/>
    <w:semiHidden/>
    <w:unhideWhenUsed/>
    <w:rsid w:val="00E95DE0"/>
    <w:rPr>
      <w:vertAlign w:val="superscript"/>
    </w:rPr>
  </w:style>
  <w:style w:type="paragraph" w:styleId="Lgende">
    <w:name w:val="caption"/>
    <w:basedOn w:val="Normal"/>
    <w:next w:val="Normal"/>
    <w:uiPriority w:val="35"/>
    <w:unhideWhenUsed/>
    <w:qFormat/>
    <w:rsid w:val="00E95DE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3313</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Michel-Alexandre Rioux</dc:creator>
  <cp:keywords/>
  <dc:description/>
  <cp:lastModifiedBy>Michel-Alexandre Rioux</cp:lastModifiedBy>
  <cp:revision>1</cp:revision>
  <dcterms:created xsi:type="dcterms:W3CDTF">2022-07-20T17:48:00Z</dcterms:created>
  <dcterms:modified xsi:type="dcterms:W3CDTF">2022-07-20T17:49:00Z</dcterms:modified>
</cp:coreProperties>
</file>